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eastAsia="黑体"/>
          <w:b/>
          <w:sz w:val="32"/>
          <w:szCs w:val="32"/>
        </w:rPr>
      </w:pPr>
      <w:r>
        <w:rPr>
          <w:rFonts w:hint="eastAsia" w:eastAsia="黑体"/>
          <w:b/>
          <w:sz w:val="32"/>
          <w:szCs w:val="32"/>
        </w:rPr>
        <w:t>江苏海晨物流股份有限公司</w:t>
      </w:r>
    </w:p>
    <w:p>
      <w:pPr>
        <w:spacing w:line="276" w:lineRule="auto"/>
        <w:jc w:val="center"/>
        <w:rPr>
          <w:rFonts w:eastAsia="黑体"/>
          <w:b/>
          <w:sz w:val="32"/>
          <w:szCs w:val="32"/>
        </w:rPr>
      </w:pPr>
      <w:r>
        <w:rPr>
          <w:rFonts w:hint="eastAsia" w:eastAsia="黑体"/>
          <w:b/>
          <w:sz w:val="32"/>
          <w:szCs w:val="32"/>
        </w:rPr>
        <w:t>202</w:t>
      </w:r>
      <w:r>
        <w:rPr>
          <w:rFonts w:hint="eastAsia" w:eastAsia="黑体"/>
          <w:b/>
          <w:sz w:val="32"/>
          <w:szCs w:val="32"/>
          <w:lang w:val="en-US" w:eastAsia="zh-CN"/>
        </w:rPr>
        <w:t>2</w:t>
      </w:r>
      <w:r>
        <w:rPr>
          <w:rFonts w:hint="eastAsia" w:eastAsia="黑体"/>
          <w:b/>
          <w:sz w:val="32"/>
          <w:szCs w:val="32"/>
        </w:rPr>
        <w:t>年度总经理工作报告</w:t>
      </w:r>
    </w:p>
    <w:p>
      <w:pPr>
        <w:spacing w:line="520" w:lineRule="exact"/>
        <w:jc w:val="center"/>
        <w:rPr>
          <w:rFonts w:ascii="Arial" w:hAnsi="Arial"/>
          <w:b/>
          <w:sz w:val="24"/>
          <w:szCs w:val="24"/>
        </w:rPr>
      </w:pPr>
    </w:p>
    <w:p>
      <w:pPr>
        <w:pStyle w:val="17"/>
        <w:numPr>
          <w:ilvl w:val="0"/>
          <w:numId w:val="1"/>
        </w:numPr>
        <w:spacing w:line="360" w:lineRule="auto"/>
        <w:outlineLvl w:val="1"/>
        <w:rPr>
          <w:rFonts w:ascii="宋体" w:hAnsi="宋体"/>
          <w:bCs w:val="0"/>
        </w:rPr>
      </w:pPr>
      <w:bookmarkStart w:id="0" w:name="_Toc988903"/>
      <w:r>
        <w:rPr>
          <w:rFonts w:hint="eastAsia" w:ascii="宋体" w:hAnsi="宋体"/>
          <w:bCs w:val="0"/>
        </w:rPr>
        <w:t>报告期内</w:t>
      </w:r>
      <w:r>
        <w:rPr>
          <w:rFonts w:ascii="宋体" w:hAnsi="宋体"/>
          <w:bCs w:val="0"/>
        </w:rPr>
        <w:t>经营情况概述</w:t>
      </w:r>
    </w:p>
    <w:p>
      <w:pPr>
        <w:autoSpaceDE w:val="0"/>
        <w:spacing w:before="0" w:after="0" w:line="360" w:lineRule="auto"/>
        <w:ind w:firstLine="420" w:firstLineChars="200"/>
        <w:rPr>
          <w:rFonts w:hint="eastAsia" w:ascii="宋体" w:hAnsi="宋体" w:eastAsia="宋体" w:cs="宋体"/>
          <w:sz w:val="21"/>
          <w:szCs w:val="21"/>
          <w:lang w:val="en-US" w:bidi="ar"/>
        </w:rPr>
      </w:pPr>
      <w:r>
        <w:rPr>
          <w:rFonts w:hint="eastAsia" w:ascii="宋体" w:hAnsi="宋体" w:eastAsia="宋体" w:cs="宋体"/>
          <w:sz w:val="21"/>
          <w:szCs w:val="21"/>
          <w:lang w:eastAsia="zh-CN" w:bidi="ar"/>
        </w:rPr>
        <w:t>报告期内公司运用数字化集约管理优势，在董事长及公司管理层的带领下，经过全体员工的共同努力，战三月，研发“接驳通”平台，承接深圳光明政府接驳站，保障深港陆运链路；迎四月，华东集结日均上百车，抢送抢发保生产；转七月，深圳新项目启动；十一月，</w:t>
      </w:r>
      <w:r>
        <w:rPr>
          <w:rFonts w:hint="eastAsia" w:ascii="宋体" w:hAnsi="宋体" w:eastAsia="宋体" w:cs="宋体"/>
          <w:sz w:val="21"/>
          <w:szCs w:val="21"/>
          <w:lang w:val="en-US" w:bidi="ar"/>
        </w:rPr>
        <w:t>40</w:t>
      </w:r>
      <w:r>
        <w:rPr>
          <w:rFonts w:hint="eastAsia" w:ascii="宋体" w:hAnsi="宋体" w:eastAsia="宋体" w:cs="宋体"/>
          <w:sz w:val="21"/>
          <w:szCs w:val="21"/>
          <w:lang w:eastAsia="zh-CN" w:bidi="ar"/>
        </w:rPr>
        <w:t>天内组建超</w:t>
      </w:r>
      <w:r>
        <w:rPr>
          <w:rFonts w:hint="eastAsia" w:ascii="宋体" w:hAnsi="宋体" w:eastAsia="宋体" w:cs="宋体"/>
          <w:sz w:val="21"/>
          <w:szCs w:val="21"/>
          <w:lang w:val="en-US" w:bidi="ar"/>
        </w:rPr>
        <w:t>2,000</w:t>
      </w:r>
      <w:r>
        <w:rPr>
          <w:rFonts w:hint="eastAsia" w:ascii="宋体" w:hAnsi="宋体" w:eastAsia="宋体" w:cs="宋体"/>
          <w:sz w:val="21"/>
          <w:szCs w:val="21"/>
          <w:lang w:eastAsia="zh-CN" w:bidi="ar"/>
        </w:rPr>
        <w:t>人团队，面对产量飙升的营运管理难度，圆满完成年末爬坡任务，赢得新老客户们的一致赞许，实现了从生产性物流服务到精准数字化赋能的业务升级，使公司主营业务逆势增长。</w:t>
      </w:r>
    </w:p>
    <w:p>
      <w:pPr>
        <w:autoSpaceDE w:val="0"/>
        <w:spacing w:before="0" w:after="0" w:line="360" w:lineRule="auto"/>
        <w:ind w:firstLine="420" w:firstLineChars="200"/>
        <w:rPr>
          <w:rFonts w:hint="eastAsia" w:ascii="宋体" w:hAnsi="宋体" w:eastAsia="宋体" w:cs="宋体"/>
          <w:sz w:val="21"/>
          <w:szCs w:val="21"/>
          <w:lang w:bidi="ar"/>
        </w:rPr>
      </w:pPr>
      <w:r>
        <w:rPr>
          <w:rFonts w:hint="eastAsia" w:ascii="宋体" w:hAnsi="宋体" w:eastAsia="宋体" w:cs="宋体"/>
          <w:sz w:val="21"/>
          <w:szCs w:val="21"/>
          <w:lang w:bidi="ar"/>
        </w:rPr>
        <w:t>公司业务与制造业生产活动深度融合，生产性物流收入占比93.26%以上，报告期内实现货运量163万吨，同比增长20.7%，报关票数72万票，同比增长-2.7%；进出仓645万托，同比增长28.5%，各项业务均稳步增长；来自电子信息行业收入同比增长9.74%，新能源汽车行业收入同比增长217.23%，新业务拓展</w:t>
      </w:r>
      <w:bookmarkStart w:id="1" w:name="_GoBack"/>
      <w:bookmarkEnd w:id="1"/>
      <w:r>
        <w:rPr>
          <w:rFonts w:hint="eastAsia" w:ascii="宋体" w:hAnsi="宋体" w:eastAsia="宋体" w:cs="宋体"/>
          <w:sz w:val="21"/>
          <w:szCs w:val="21"/>
          <w:lang w:bidi="ar"/>
        </w:rPr>
        <w:t>成效显著；员工数量同比增长79.91%，薪酬支出同比增长62.00%，组织规模与管理水平持续提升；研发费用同比增长32.99%，科学技术的投入将是海晨发展的主旋律。</w:t>
      </w:r>
    </w:p>
    <w:p>
      <w:pPr>
        <w:autoSpaceDE w:val="0"/>
        <w:spacing w:before="0" w:after="0" w:line="360" w:lineRule="auto"/>
        <w:ind w:firstLine="420" w:firstLineChars="200"/>
        <w:rPr>
          <w:rFonts w:hint="eastAsia" w:ascii="宋体" w:hAnsi="宋体" w:eastAsia="宋体" w:cs="宋体"/>
          <w:sz w:val="21"/>
          <w:szCs w:val="21"/>
          <w:lang w:bidi="ar"/>
        </w:rPr>
      </w:pPr>
      <w:r>
        <w:rPr>
          <w:rFonts w:hint="eastAsia" w:ascii="宋体" w:hAnsi="宋体" w:eastAsia="宋体" w:cs="宋体"/>
          <w:sz w:val="21"/>
          <w:szCs w:val="21"/>
          <w:lang w:bidi="ar"/>
        </w:rPr>
        <w:t>2022年，公司实现营业收入180,035.82万元，同比2021年增长22.67%，三年营收复合增长29.48%；全年实现归母净利35,819.18万元，同比增长15.81%，三年复合增长35.62%；全年实现扣非净利26,159.42，同比增长23.24%，三年复合增长27.24%。详见下表：</w:t>
      </w:r>
    </w:p>
    <w:p>
      <w:pPr>
        <w:adjustRightInd w:val="0"/>
        <w:snapToGrid w:val="0"/>
        <w:spacing w:before="100" w:after="100"/>
        <w:ind w:firstLine="420" w:firstLineChars="200"/>
        <w:jc w:val="right"/>
        <w:rPr>
          <w:rFonts w:ascii="宋体" w:hAnsi="宋体" w:cs="宋体"/>
          <w:color w:val="000000"/>
          <w:szCs w:val="21"/>
          <w:lang w:bidi="ar"/>
        </w:rPr>
      </w:pPr>
      <w:r>
        <w:rPr>
          <w:rFonts w:ascii="宋体" w:hAnsi="宋体" w:cs="宋体"/>
          <w:color w:val="000000"/>
          <w:szCs w:val="21"/>
          <w:lang w:bidi="ar"/>
        </w:rPr>
        <w:t>单位：万元</w:t>
      </w:r>
    </w:p>
    <w:tbl>
      <w:tblPr>
        <w:tblStyle w:val="19"/>
        <w:tblW w:w="5000" w:type="pct"/>
        <w:tblInd w:w="0" w:type="dxa"/>
        <w:tblLayout w:type="autofit"/>
        <w:tblCellMar>
          <w:top w:w="0" w:type="dxa"/>
          <w:left w:w="108" w:type="dxa"/>
          <w:bottom w:w="0" w:type="dxa"/>
          <w:right w:w="108" w:type="dxa"/>
        </w:tblCellMar>
      </w:tblPr>
      <w:tblGrid>
        <w:gridCol w:w="1110"/>
        <w:gridCol w:w="1354"/>
        <w:gridCol w:w="1492"/>
        <w:gridCol w:w="1492"/>
        <w:gridCol w:w="1492"/>
        <w:gridCol w:w="1582"/>
      </w:tblGrid>
      <w:tr>
        <w:tblPrEx>
          <w:tblCellMar>
            <w:top w:w="0" w:type="dxa"/>
            <w:left w:w="108" w:type="dxa"/>
            <w:bottom w:w="0" w:type="dxa"/>
            <w:right w:w="108" w:type="dxa"/>
          </w:tblCellMar>
        </w:tblPrEx>
        <w:trPr>
          <w:trHeight w:val="585" w:hRule="atLeast"/>
        </w:trPr>
        <w:tc>
          <w:tcPr>
            <w:tcW w:w="660" w:type="pct"/>
            <w:tcBorders>
              <w:top w:val="single" w:color="auto" w:sz="4" w:space="0"/>
              <w:left w:val="single" w:color="auto" w:sz="4" w:space="0"/>
              <w:bottom w:val="single" w:color="auto" w:sz="4" w:space="0"/>
              <w:right w:val="single" w:color="auto" w:sz="4" w:space="0"/>
              <w:tl2br w:val="single" w:color="auto" w:sz="4" w:space="0"/>
            </w:tcBorders>
            <w:shd w:val="clear" w:color="auto" w:fill="E7E6E6"/>
            <w:vAlign w:val="bottom"/>
          </w:tcPr>
          <w:p>
            <w:pPr>
              <w:widowControl/>
              <w:adjustRightInd w:val="0"/>
              <w:snapToGrid w:val="0"/>
              <w:spacing w:before="100" w:after="100" w:line="240" w:lineRule="auto"/>
              <w:jc w:val="left"/>
              <w:rPr>
                <w:rFonts w:ascii="宋体" w:hAnsi="宋体" w:cs="Calibri"/>
                <w:color w:val="000000"/>
                <w:szCs w:val="21"/>
              </w:rPr>
            </w:pPr>
            <w:r>
              <w:rPr>
                <w:rFonts w:hint="eastAsia" w:ascii="宋体" w:hAnsi="宋体" w:cs="Calibri"/>
                <w:color w:val="000000"/>
                <w:szCs w:val="21"/>
                <w:lang w:bidi="ar"/>
              </w:rPr>
              <w:t xml:space="preserve">      </w:t>
            </w:r>
            <w:r>
              <w:rPr>
                <w:rFonts w:ascii="宋体" w:hAnsi="宋体" w:cs="Calibri"/>
                <w:color w:val="000000"/>
                <w:szCs w:val="21"/>
                <w:lang w:bidi="ar"/>
              </w:rPr>
              <w:t xml:space="preserve"> </w:t>
            </w:r>
            <w:r>
              <w:rPr>
                <w:rFonts w:hint="eastAsia" w:ascii="宋体" w:hAnsi="宋体" w:cs="宋体"/>
                <w:color w:val="000000"/>
                <w:szCs w:val="21"/>
                <w:lang w:bidi="ar"/>
              </w:rPr>
              <w:t>年</w:t>
            </w:r>
            <w:r>
              <w:rPr>
                <w:rFonts w:hint="eastAsia" w:ascii="宋体" w:hAnsi="宋体" w:cs="Calibri"/>
                <w:color w:val="000000"/>
                <w:szCs w:val="21"/>
                <w:lang w:bidi="ar"/>
              </w:rPr>
              <w:br w:type="textWrapping"/>
            </w:r>
            <w:r>
              <w:rPr>
                <w:rFonts w:hint="eastAsia" w:ascii="宋体" w:hAnsi="宋体" w:cs="宋体"/>
                <w:color w:val="000000"/>
                <w:szCs w:val="21"/>
                <w:lang w:bidi="ar"/>
              </w:rPr>
              <w:t>名称</w:t>
            </w:r>
          </w:p>
        </w:tc>
        <w:tc>
          <w:tcPr>
            <w:tcW w:w="803" w:type="pct"/>
            <w:tcBorders>
              <w:top w:val="single" w:color="auto" w:sz="4" w:space="0"/>
              <w:left w:val="nil"/>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ascii="宋体" w:hAnsi="宋体" w:cs="Calibri"/>
                <w:color w:val="000000"/>
                <w:szCs w:val="21"/>
              </w:rPr>
            </w:pPr>
            <w:r>
              <w:rPr>
                <w:rFonts w:ascii="宋体" w:hAnsi="宋体" w:cs="Calibri"/>
                <w:color w:val="000000"/>
                <w:szCs w:val="21"/>
                <w:lang w:bidi="ar"/>
              </w:rPr>
              <w:t>20</w:t>
            </w:r>
            <w:r>
              <w:rPr>
                <w:rFonts w:hint="eastAsia" w:ascii="宋体" w:hAnsi="宋体" w:cs="Calibri"/>
                <w:color w:val="000000"/>
                <w:szCs w:val="21"/>
                <w:lang w:bidi="ar"/>
              </w:rPr>
              <w:t>22</w:t>
            </w:r>
          </w:p>
        </w:tc>
        <w:tc>
          <w:tcPr>
            <w:tcW w:w="884" w:type="pct"/>
            <w:tcBorders>
              <w:top w:val="single" w:color="auto" w:sz="4" w:space="0"/>
              <w:left w:val="nil"/>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ascii="宋体" w:hAnsi="宋体" w:cs="Calibri"/>
                <w:color w:val="000000"/>
                <w:szCs w:val="21"/>
              </w:rPr>
            </w:pPr>
            <w:r>
              <w:rPr>
                <w:rFonts w:ascii="宋体" w:hAnsi="宋体" w:cs="Calibri"/>
                <w:color w:val="000000"/>
                <w:szCs w:val="21"/>
                <w:lang w:bidi="ar"/>
              </w:rPr>
              <w:t>20</w:t>
            </w:r>
            <w:r>
              <w:rPr>
                <w:rFonts w:hint="eastAsia" w:ascii="宋体" w:hAnsi="宋体" w:cs="Calibri"/>
                <w:color w:val="000000"/>
                <w:szCs w:val="21"/>
                <w:lang w:bidi="ar"/>
              </w:rPr>
              <w:t>21</w:t>
            </w:r>
          </w:p>
        </w:tc>
        <w:tc>
          <w:tcPr>
            <w:tcW w:w="884" w:type="pct"/>
            <w:tcBorders>
              <w:top w:val="single" w:color="auto" w:sz="4" w:space="0"/>
              <w:left w:val="nil"/>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w:t>
            </w:r>
          </w:p>
        </w:tc>
        <w:tc>
          <w:tcPr>
            <w:tcW w:w="884" w:type="pct"/>
            <w:tcBorders>
              <w:top w:val="single" w:color="auto" w:sz="4" w:space="0"/>
              <w:left w:val="nil"/>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宋体"/>
                <w:color w:val="000000"/>
                <w:szCs w:val="21"/>
                <w:lang w:bidi="ar"/>
              </w:rPr>
              <w:t>同比</w:t>
            </w:r>
            <w:r>
              <w:rPr>
                <w:rFonts w:hint="eastAsia" w:ascii="宋体" w:hAnsi="宋体" w:cs="Calibri"/>
                <w:color w:val="000000"/>
                <w:szCs w:val="21"/>
                <w:lang w:bidi="ar"/>
              </w:rPr>
              <w:t>%</w:t>
            </w:r>
          </w:p>
        </w:tc>
        <w:tc>
          <w:tcPr>
            <w:tcW w:w="885" w:type="pct"/>
            <w:tcBorders>
              <w:top w:val="single" w:color="auto" w:sz="4" w:space="0"/>
              <w:left w:val="nil"/>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宋体"/>
                <w:color w:val="000000"/>
                <w:szCs w:val="21"/>
                <w:lang w:bidi="ar"/>
              </w:rPr>
              <w:t>三年复合增长</w:t>
            </w:r>
            <w:r>
              <w:rPr>
                <w:rFonts w:hint="eastAsia" w:ascii="宋体" w:hAnsi="宋体" w:cs="Calibri"/>
                <w:color w:val="000000"/>
                <w:szCs w:val="21"/>
                <w:lang w:bidi="ar"/>
              </w:rPr>
              <w:t>%</w:t>
            </w:r>
          </w:p>
        </w:tc>
      </w:tr>
      <w:tr>
        <w:tblPrEx>
          <w:tblCellMar>
            <w:top w:w="0" w:type="dxa"/>
            <w:left w:w="108" w:type="dxa"/>
            <w:bottom w:w="0" w:type="dxa"/>
            <w:right w:w="108" w:type="dxa"/>
          </w:tblCellMar>
        </w:tblPrEx>
        <w:trPr>
          <w:trHeight w:val="447" w:hRule="atLeast"/>
        </w:trPr>
        <w:tc>
          <w:tcPr>
            <w:tcW w:w="660" w:type="pct"/>
            <w:tcBorders>
              <w:top w:val="nil"/>
              <w:left w:val="single" w:color="auto" w:sz="4" w:space="0"/>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宋体"/>
                <w:color w:val="000000"/>
                <w:szCs w:val="21"/>
                <w:lang w:bidi="ar"/>
              </w:rPr>
              <w:t>营业收入</w:t>
            </w:r>
          </w:p>
        </w:tc>
        <w:tc>
          <w:tcPr>
            <w:tcW w:w="803"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180,035.82</w:t>
            </w:r>
          </w:p>
        </w:tc>
        <w:tc>
          <w:tcPr>
            <w:tcW w:w="884"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146,761.59</w:t>
            </w:r>
          </w:p>
        </w:tc>
        <w:tc>
          <w:tcPr>
            <w:tcW w:w="884"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33,274.23</w:t>
            </w:r>
          </w:p>
        </w:tc>
        <w:tc>
          <w:tcPr>
            <w:tcW w:w="884"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22.67%</w:t>
            </w:r>
          </w:p>
        </w:tc>
        <w:tc>
          <w:tcPr>
            <w:tcW w:w="885"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29.48%</w:t>
            </w:r>
          </w:p>
        </w:tc>
      </w:tr>
      <w:tr>
        <w:tblPrEx>
          <w:tblCellMar>
            <w:top w:w="0" w:type="dxa"/>
            <w:left w:w="108" w:type="dxa"/>
            <w:bottom w:w="0" w:type="dxa"/>
            <w:right w:w="108" w:type="dxa"/>
          </w:tblCellMar>
        </w:tblPrEx>
        <w:trPr>
          <w:trHeight w:val="447" w:hRule="atLeast"/>
        </w:trPr>
        <w:tc>
          <w:tcPr>
            <w:tcW w:w="660" w:type="pct"/>
            <w:tcBorders>
              <w:top w:val="nil"/>
              <w:left w:val="single" w:color="auto" w:sz="4" w:space="0"/>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宋体"/>
                <w:color w:val="000000"/>
                <w:szCs w:val="21"/>
                <w:lang w:bidi="ar"/>
              </w:rPr>
              <w:t>归母净利</w:t>
            </w:r>
          </w:p>
        </w:tc>
        <w:tc>
          <w:tcPr>
            <w:tcW w:w="803"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35,819.18</w:t>
            </w:r>
          </w:p>
        </w:tc>
        <w:tc>
          <w:tcPr>
            <w:tcW w:w="884"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30,929.61</w:t>
            </w:r>
          </w:p>
        </w:tc>
        <w:tc>
          <w:tcPr>
            <w:tcW w:w="884"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4,889.57</w:t>
            </w:r>
          </w:p>
        </w:tc>
        <w:tc>
          <w:tcPr>
            <w:tcW w:w="884"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15.81%</w:t>
            </w:r>
          </w:p>
        </w:tc>
        <w:tc>
          <w:tcPr>
            <w:tcW w:w="885"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35.62%</w:t>
            </w:r>
          </w:p>
        </w:tc>
      </w:tr>
      <w:tr>
        <w:tblPrEx>
          <w:tblCellMar>
            <w:top w:w="0" w:type="dxa"/>
            <w:left w:w="108" w:type="dxa"/>
            <w:bottom w:w="0" w:type="dxa"/>
            <w:right w:w="108" w:type="dxa"/>
          </w:tblCellMar>
        </w:tblPrEx>
        <w:trPr>
          <w:trHeight w:val="447" w:hRule="atLeast"/>
        </w:trPr>
        <w:tc>
          <w:tcPr>
            <w:tcW w:w="660" w:type="pct"/>
            <w:tcBorders>
              <w:top w:val="nil"/>
              <w:left w:val="single" w:color="auto" w:sz="4" w:space="0"/>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宋体"/>
                <w:color w:val="000000"/>
                <w:szCs w:val="21"/>
                <w:lang w:bidi="ar"/>
              </w:rPr>
              <w:t>扣非净利</w:t>
            </w:r>
          </w:p>
        </w:tc>
        <w:tc>
          <w:tcPr>
            <w:tcW w:w="803"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26,159.42</w:t>
            </w:r>
          </w:p>
        </w:tc>
        <w:tc>
          <w:tcPr>
            <w:tcW w:w="884"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21,226.2</w:t>
            </w:r>
          </w:p>
        </w:tc>
        <w:tc>
          <w:tcPr>
            <w:tcW w:w="884"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4,933.22</w:t>
            </w:r>
          </w:p>
        </w:tc>
        <w:tc>
          <w:tcPr>
            <w:tcW w:w="884"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23.24%</w:t>
            </w:r>
          </w:p>
        </w:tc>
        <w:tc>
          <w:tcPr>
            <w:tcW w:w="885"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ascii="宋体" w:hAnsi="宋体" w:cs="Calibri"/>
                <w:color w:val="000000"/>
                <w:szCs w:val="21"/>
              </w:rPr>
            </w:pPr>
            <w:r>
              <w:rPr>
                <w:rFonts w:hint="eastAsia" w:ascii="宋体" w:hAnsi="宋体" w:cs="Calibri"/>
                <w:color w:val="000000"/>
                <w:szCs w:val="21"/>
                <w:lang w:bidi="ar"/>
              </w:rPr>
              <w:t>27.24%</w:t>
            </w:r>
          </w:p>
        </w:tc>
      </w:tr>
    </w:tbl>
    <w:p>
      <w:pPr>
        <w:pStyle w:val="9"/>
        <w:adjustRightInd w:val="0"/>
        <w:snapToGrid w:val="0"/>
        <w:spacing w:before="100" w:beforeAutospacing="0" w:after="100" w:afterAutospacing="0"/>
        <w:ind w:firstLine="420"/>
        <w:jc w:val="both"/>
        <w:rPr>
          <w:rFonts w:hint="eastAsia"/>
          <w:color w:val="000000"/>
          <w:sz w:val="21"/>
          <w:szCs w:val="21"/>
        </w:rPr>
      </w:pPr>
    </w:p>
    <w:p>
      <w:pPr>
        <w:pStyle w:val="9"/>
        <w:adjustRightInd w:val="0"/>
        <w:snapToGrid w:val="0"/>
        <w:spacing w:before="100" w:beforeAutospacing="0" w:after="100" w:afterAutospacing="0"/>
        <w:ind w:firstLine="42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2022年公司综合毛利率25.1</w:t>
      </w:r>
      <w:r>
        <w:rPr>
          <w:rFonts w:hint="eastAsia" w:asciiTheme="minorEastAsia" w:hAnsiTheme="minorEastAsia" w:eastAsiaTheme="minorEastAsia"/>
          <w:color w:val="000000"/>
          <w:sz w:val="21"/>
          <w:szCs w:val="21"/>
          <w:lang w:val="en-US" w:eastAsia="zh-CN"/>
        </w:rPr>
        <w:t>3</w:t>
      </w:r>
      <w:r>
        <w:rPr>
          <w:rFonts w:hint="eastAsia" w:asciiTheme="minorEastAsia" w:hAnsiTheme="minorEastAsia" w:eastAsiaTheme="minorEastAsia"/>
          <w:color w:val="000000"/>
          <w:sz w:val="21"/>
          <w:szCs w:val="21"/>
        </w:rPr>
        <w:t>%，详见下表：</w:t>
      </w:r>
    </w:p>
    <w:p>
      <w:pPr>
        <w:adjustRightInd w:val="0"/>
        <w:snapToGrid w:val="0"/>
        <w:spacing w:before="100" w:after="100"/>
        <w:ind w:firstLine="420" w:firstLineChars="200"/>
        <w:jc w:val="right"/>
        <w:rPr>
          <w:rFonts w:cs="宋体" w:asciiTheme="minorEastAsia" w:hAnsiTheme="minorEastAsia" w:eastAsiaTheme="minorEastAsia"/>
          <w:color w:val="000000"/>
          <w:szCs w:val="21"/>
          <w:lang w:bidi="ar"/>
        </w:rPr>
      </w:pPr>
      <w:r>
        <w:rPr>
          <w:rFonts w:cs="宋体" w:asciiTheme="minorEastAsia" w:hAnsiTheme="minorEastAsia" w:eastAsiaTheme="minorEastAsia"/>
          <w:color w:val="000000"/>
          <w:szCs w:val="21"/>
          <w:lang w:bidi="ar"/>
        </w:rPr>
        <w:t>单位：万元</w:t>
      </w:r>
    </w:p>
    <w:tbl>
      <w:tblPr>
        <w:tblStyle w:val="19"/>
        <w:tblW w:w="4998" w:type="pct"/>
        <w:tblInd w:w="0" w:type="dxa"/>
        <w:tblLayout w:type="autofit"/>
        <w:tblCellMar>
          <w:top w:w="0" w:type="dxa"/>
          <w:left w:w="108" w:type="dxa"/>
          <w:bottom w:w="0" w:type="dxa"/>
          <w:right w:w="108" w:type="dxa"/>
        </w:tblCellMar>
      </w:tblPr>
      <w:tblGrid>
        <w:gridCol w:w="805"/>
        <w:gridCol w:w="1437"/>
        <w:gridCol w:w="3068"/>
        <w:gridCol w:w="1477"/>
        <w:gridCol w:w="1732"/>
      </w:tblGrid>
      <w:tr>
        <w:tblPrEx>
          <w:tblCellMar>
            <w:top w:w="0" w:type="dxa"/>
            <w:left w:w="108" w:type="dxa"/>
            <w:bottom w:w="0" w:type="dxa"/>
            <w:right w:w="108" w:type="dxa"/>
          </w:tblCellMar>
        </w:tblPrEx>
        <w:trPr>
          <w:trHeight w:val="504" w:hRule="atLeast"/>
        </w:trPr>
        <w:tc>
          <w:tcPr>
            <w:tcW w:w="1397" w:type="pct"/>
            <w:gridSpan w:val="2"/>
            <w:tcBorders>
              <w:top w:val="single" w:color="auto" w:sz="4" w:space="0"/>
              <w:left w:val="single" w:color="auto" w:sz="4" w:space="0"/>
              <w:bottom w:val="single" w:color="auto" w:sz="4" w:space="0"/>
              <w:right w:val="single" w:color="auto" w:sz="4" w:space="0"/>
              <w:tl2br w:val="single" w:color="auto" w:sz="4" w:space="0"/>
            </w:tcBorders>
            <w:shd w:val="clear" w:color="auto" w:fill="E7E6E6"/>
            <w:vAlign w:val="bottom"/>
          </w:tcPr>
          <w:p>
            <w:pPr>
              <w:widowControl/>
              <w:adjustRightInd w:val="0"/>
              <w:snapToGrid w:val="0"/>
              <w:spacing w:before="100" w:after="100" w:line="240" w:lineRule="auto"/>
              <w:jc w:val="left"/>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 xml:space="preserve">         </w:t>
            </w:r>
            <w:r>
              <w:rPr>
                <w:rFonts w:cs="Calibri" w:asciiTheme="minorEastAsia" w:hAnsiTheme="minorEastAsia" w:eastAsiaTheme="minorEastAsia"/>
                <w:color w:val="000000"/>
                <w:szCs w:val="21"/>
                <w:lang w:bidi="ar"/>
              </w:rPr>
              <w:t xml:space="preserve">           </w:t>
            </w:r>
            <w:r>
              <w:rPr>
                <w:rFonts w:hint="eastAsia" w:cs="Calibri" w:asciiTheme="minorEastAsia" w:hAnsiTheme="minorEastAsia" w:eastAsiaTheme="minorEastAsia"/>
                <w:color w:val="000000"/>
                <w:szCs w:val="21"/>
                <w:lang w:bidi="ar"/>
              </w:rPr>
              <w:t xml:space="preserve"> </w:t>
            </w:r>
            <w:r>
              <w:rPr>
                <w:rFonts w:hint="eastAsia" w:cs="宋体" w:asciiTheme="minorEastAsia" w:hAnsiTheme="minorEastAsia" w:eastAsiaTheme="minorEastAsia"/>
                <w:color w:val="000000"/>
                <w:szCs w:val="21"/>
                <w:lang w:bidi="ar"/>
              </w:rPr>
              <w:t>年</w:t>
            </w:r>
            <w:r>
              <w:rPr>
                <w:rFonts w:hint="eastAsia" w:cs="Calibri" w:asciiTheme="minorEastAsia" w:hAnsiTheme="minorEastAsia" w:eastAsiaTheme="minorEastAsia"/>
                <w:color w:val="000000"/>
                <w:szCs w:val="21"/>
                <w:lang w:bidi="ar"/>
              </w:rPr>
              <w:br w:type="textWrapping"/>
            </w:r>
            <w:r>
              <w:rPr>
                <w:rFonts w:hint="eastAsia" w:cs="宋体" w:asciiTheme="minorEastAsia" w:hAnsiTheme="minorEastAsia" w:eastAsiaTheme="minorEastAsia"/>
                <w:color w:val="000000"/>
                <w:szCs w:val="21"/>
                <w:lang w:bidi="ar"/>
              </w:rPr>
              <w:t>名称</w:t>
            </w:r>
          </w:p>
        </w:tc>
        <w:tc>
          <w:tcPr>
            <w:tcW w:w="1841" w:type="pct"/>
            <w:tcBorders>
              <w:top w:val="single" w:color="auto" w:sz="4" w:space="0"/>
              <w:left w:val="nil"/>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val="en-US" w:eastAsia="zh-CN" w:bidi="ar"/>
              </w:rPr>
              <w:t>20</w:t>
            </w:r>
            <w:r>
              <w:rPr>
                <w:rFonts w:hint="eastAsia" w:cs="Calibri" w:asciiTheme="minorEastAsia" w:hAnsiTheme="minorEastAsia" w:eastAsiaTheme="minorEastAsia"/>
                <w:color w:val="000000"/>
                <w:szCs w:val="21"/>
                <w:lang w:bidi="ar"/>
              </w:rPr>
              <w:t>22</w:t>
            </w:r>
          </w:p>
        </w:tc>
        <w:tc>
          <w:tcPr>
            <w:tcW w:w="811" w:type="pct"/>
            <w:tcBorders>
              <w:top w:val="single" w:color="auto" w:sz="4" w:space="0"/>
              <w:left w:val="nil"/>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val="en-US" w:eastAsia="zh-CN" w:bidi="ar"/>
              </w:rPr>
              <w:t>20</w:t>
            </w:r>
            <w:r>
              <w:rPr>
                <w:rFonts w:hint="eastAsia" w:cs="Calibri" w:asciiTheme="minorEastAsia" w:hAnsiTheme="minorEastAsia" w:eastAsiaTheme="minorEastAsia"/>
                <w:color w:val="000000"/>
                <w:szCs w:val="21"/>
                <w:lang w:bidi="ar"/>
              </w:rPr>
              <w:t>21</w:t>
            </w:r>
          </w:p>
        </w:tc>
        <w:tc>
          <w:tcPr>
            <w:tcW w:w="951" w:type="pct"/>
            <w:tcBorders>
              <w:top w:val="single" w:color="auto" w:sz="4" w:space="0"/>
              <w:left w:val="nil"/>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w:t>
            </w:r>
          </w:p>
        </w:tc>
      </w:tr>
      <w:tr>
        <w:tblPrEx>
          <w:tblCellMar>
            <w:top w:w="0" w:type="dxa"/>
            <w:left w:w="108" w:type="dxa"/>
            <w:bottom w:w="0" w:type="dxa"/>
            <w:right w:w="108" w:type="dxa"/>
          </w:tblCellMar>
        </w:tblPrEx>
        <w:trPr>
          <w:trHeight w:val="385" w:hRule="atLeast"/>
        </w:trPr>
        <w:tc>
          <w:tcPr>
            <w:tcW w:w="1397" w:type="pct"/>
            <w:gridSpan w:val="2"/>
            <w:tcBorders>
              <w:top w:val="single" w:color="auto" w:sz="4" w:space="0"/>
              <w:left w:val="single" w:color="auto" w:sz="4" w:space="0"/>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宋体" w:asciiTheme="minorEastAsia" w:hAnsiTheme="minorEastAsia" w:eastAsiaTheme="minorEastAsia"/>
                <w:color w:val="000000"/>
                <w:szCs w:val="21"/>
                <w:lang w:bidi="ar"/>
              </w:rPr>
              <w:t>营业收入</w:t>
            </w:r>
          </w:p>
        </w:tc>
        <w:tc>
          <w:tcPr>
            <w:tcW w:w="1841" w:type="pct"/>
            <w:tcBorders>
              <w:top w:val="single" w:color="auto" w:sz="4" w:space="0"/>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180,035.82</w:t>
            </w:r>
          </w:p>
        </w:tc>
        <w:tc>
          <w:tcPr>
            <w:tcW w:w="811" w:type="pct"/>
            <w:tcBorders>
              <w:top w:val="single" w:color="auto" w:sz="4" w:space="0"/>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146,761.59</w:t>
            </w:r>
          </w:p>
        </w:tc>
        <w:tc>
          <w:tcPr>
            <w:tcW w:w="951" w:type="pct"/>
            <w:tcBorders>
              <w:top w:val="single" w:color="auto" w:sz="4" w:space="0"/>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cs="Calibri" w:asciiTheme="minorEastAsia" w:hAnsiTheme="minorEastAsia" w:eastAsiaTheme="minorEastAsia"/>
                <w:color w:val="000000"/>
                <w:szCs w:val="21"/>
              </w:rPr>
              <w:t>33,274.23</w:t>
            </w:r>
          </w:p>
        </w:tc>
      </w:tr>
      <w:tr>
        <w:tblPrEx>
          <w:tblCellMar>
            <w:top w:w="0" w:type="dxa"/>
            <w:left w:w="108" w:type="dxa"/>
            <w:bottom w:w="0" w:type="dxa"/>
            <w:right w:w="108" w:type="dxa"/>
          </w:tblCellMar>
        </w:tblPrEx>
        <w:trPr>
          <w:trHeight w:val="385" w:hRule="atLeast"/>
        </w:trPr>
        <w:tc>
          <w:tcPr>
            <w:tcW w:w="1397" w:type="pct"/>
            <w:gridSpan w:val="2"/>
            <w:tcBorders>
              <w:top w:val="single" w:color="auto" w:sz="4" w:space="0"/>
              <w:left w:val="single" w:color="auto" w:sz="4" w:space="0"/>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宋体" w:asciiTheme="minorEastAsia" w:hAnsiTheme="minorEastAsia" w:eastAsiaTheme="minorEastAsia"/>
                <w:color w:val="000000"/>
                <w:szCs w:val="21"/>
                <w:lang w:bidi="ar"/>
              </w:rPr>
              <w:t>营业成本</w:t>
            </w:r>
          </w:p>
        </w:tc>
        <w:tc>
          <w:tcPr>
            <w:tcW w:w="1841" w:type="pct"/>
            <w:tcBorders>
              <w:top w:val="single" w:color="auto" w:sz="4" w:space="0"/>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135,787.61</w:t>
            </w:r>
          </w:p>
        </w:tc>
        <w:tc>
          <w:tcPr>
            <w:tcW w:w="811" w:type="pct"/>
            <w:tcBorders>
              <w:top w:val="single" w:color="auto" w:sz="4" w:space="0"/>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hint="default" w:cs="Calibri" w:asciiTheme="minorEastAsia" w:hAnsiTheme="minorEastAsia" w:eastAsiaTheme="minorEastAsia"/>
                <w:color w:val="000000"/>
                <w:szCs w:val="21"/>
                <w:lang w:val="en-US" w:eastAsia="zh-CN"/>
              </w:rPr>
            </w:pPr>
            <w:r>
              <w:rPr>
                <w:rFonts w:hint="eastAsia" w:cs="Calibri" w:asciiTheme="minorEastAsia" w:hAnsiTheme="minorEastAsia" w:eastAsiaTheme="minorEastAsia"/>
                <w:color w:val="000000"/>
                <w:szCs w:val="21"/>
                <w:lang w:bidi="ar"/>
              </w:rPr>
              <w:t>104,427</w:t>
            </w:r>
            <w:r>
              <w:rPr>
                <w:rFonts w:hint="eastAsia" w:cs="Calibri" w:asciiTheme="minorEastAsia" w:hAnsiTheme="minorEastAsia" w:eastAsiaTheme="minorEastAsia"/>
                <w:color w:val="000000"/>
                <w:szCs w:val="21"/>
                <w:lang w:val="en-US" w:eastAsia="zh-CN" w:bidi="ar"/>
              </w:rPr>
              <w:t>.43</w:t>
            </w:r>
          </w:p>
        </w:tc>
        <w:tc>
          <w:tcPr>
            <w:tcW w:w="951" w:type="pct"/>
            <w:tcBorders>
              <w:top w:val="single" w:color="auto" w:sz="4" w:space="0"/>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cs="Calibri" w:asciiTheme="minorEastAsia" w:hAnsiTheme="minorEastAsia" w:eastAsiaTheme="minorEastAsia"/>
                <w:color w:val="000000"/>
                <w:szCs w:val="21"/>
                <w:lang w:bidi="ar"/>
              </w:rPr>
              <w:t>30,360.17</w:t>
            </w:r>
          </w:p>
        </w:tc>
      </w:tr>
      <w:tr>
        <w:tblPrEx>
          <w:tblCellMar>
            <w:top w:w="0" w:type="dxa"/>
            <w:left w:w="108" w:type="dxa"/>
            <w:bottom w:w="0" w:type="dxa"/>
            <w:right w:w="108" w:type="dxa"/>
          </w:tblCellMar>
        </w:tblPrEx>
        <w:trPr>
          <w:trHeight w:val="385" w:hRule="atLeast"/>
        </w:trPr>
        <w:tc>
          <w:tcPr>
            <w:tcW w:w="1397" w:type="pct"/>
            <w:gridSpan w:val="2"/>
            <w:tcBorders>
              <w:top w:val="single" w:color="auto" w:sz="4" w:space="0"/>
              <w:left w:val="single" w:color="auto" w:sz="4" w:space="0"/>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毛利率</w:t>
            </w:r>
          </w:p>
        </w:tc>
        <w:tc>
          <w:tcPr>
            <w:tcW w:w="1841" w:type="pct"/>
            <w:tcBorders>
              <w:top w:val="single" w:color="auto" w:sz="4" w:space="0"/>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25.1</w:t>
            </w:r>
            <w:r>
              <w:rPr>
                <w:rFonts w:hint="eastAsia" w:cs="Calibri" w:asciiTheme="minorEastAsia" w:hAnsiTheme="minorEastAsia" w:eastAsiaTheme="minorEastAsia"/>
                <w:color w:val="000000"/>
                <w:szCs w:val="21"/>
                <w:lang w:val="en-US" w:eastAsia="zh-CN" w:bidi="ar"/>
              </w:rPr>
              <w:t>3</w:t>
            </w:r>
            <w:r>
              <w:rPr>
                <w:rFonts w:hint="eastAsia" w:cs="Calibri" w:asciiTheme="minorEastAsia" w:hAnsiTheme="minorEastAsia" w:eastAsiaTheme="minorEastAsia"/>
                <w:color w:val="000000"/>
                <w:szCs w:val="21"/>
                <w:lang w:bidi="ar"/>
              </w:rPr>
              <w:t>%</w:t>
            </w:r>
          </w:p>
        </w:tc>
        <w:tc>
          <w:tcPr>
            <w:tcW w:w="811" w:type="pct"/>
            <w:tcBorders>
              <w:top w:val="single" w:color="auto" w:sz="4" w:space="0"/>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28.</w:t>
            </w:r>
            <w:r>
              <w:rPr>
                <w:rFonts w:hint="eastAsia" w:cs="Calibri" w:asciiTheme="minorEastAsia" w:hAnsiTheme="minorEastAsia" w:eastAsiaTheme="minorEastAsia"/>
                <w:color w:val="000000"/>
                <w:szCs w:val="21"/>
                <w:lang w:val="en-US" w:eastAsia="zh-CN" w:bidi="ar"/>
              </w:rPr>
              <w:t>85</w:t>
            </w:r>
            <w:r>
              <w:rPr>
                <w:rFonts w:hint="eastAsia" w:cs="Calibri" w:asciiTheme="minorEastAsia" w:hAnsiTheme="minorEastAsia" w:eastAsiaTheme="minorEastAsia"/>
                <w:color w:val="000000"/>
                <w:szCs w:val="21"/>
                <w:lang w:bidi="ar"/>
              </w:rPr>
              <w:t>%</w:t>
            </w:r>
          </w:p>
        </w:tc>
        <w:tc>
          <w:tcPr>
            <w:tcW w:w="951" w:type="pct"/>
            <w:tcBorders>
              <w:top w:val="single" w:color="auto" w:sz="4" w:space="0"/>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-3</w:t>
            </w:r>
            <w:r>
              <w:rPr>
                <w:rFonts w:cs="Calibri" w:asciiTheme="minorEastAsia" w:hAnsiTheme="minorEastAsia" w:eastAsiaTheme="minorEastAsia"/>
                <w:color w:val="000000"/>
                <w:szCs w:val="21"/>
                <w:lang w:bidi="ar"/>
              </w:rPr>
              <w:t>.71</w:t>
            </w:r>
            <w:r>
              <w:rPr>
                <w:rFonts w:hint="eastAsia" w:cs="Calibri" w:asciiTheme="minorEastAsia" w:hAnsiTheme="minorEastAsia" w:eastAsiaTheme="minorEastAsia"/>
                <w:color w:val="000000"/>
                <w:szCs w:val="21"/>
                <w:lang w:bidi="ar"/>
              </w:rPr>
              <w:t>%</w:t>
            </w:r>
          </w:p>
        </w:tc>
      </w:tr>
      <w:tr>
        <w:tblPrEx>
          <w:tblCellMar>
            <w:top w:w="0" w:type="dxa"/>
            <w:left w:w="108" w:type="dxa"/>
            <w:bottom w:w="0" w:type="dxa"/>
            <w:right w:w="108" w:type="dxa"/>
          </w:tblCellMar>
        </w:tblPrEx>
        <w:trPr>
          <w:trHeight w:val="385" w:hRule="atLeast"/>
        </w:trPr>
        <w:tc>
          <w:tcPr>
            <w:tcW w:w="513" w:type="pct"/>
            <w:vMerge w:val="restart"/>
            <w:tcBorders>
              <w:top w:val="single" w:color="auto" w:sz="4" w:space="0"/>
              <w:left w:val="single" w:color="auto" w:sz="4" w:space="0"/>
              <w:bottom w:val="single" w:color="auto" w:sz="4" w:space="0"/>
              <w:right w:val="single" w:color="auto" w:sz="4" w:space="0"/>
            </w:tcBorders>
            <w:shd w:val="clear" w:color="auto" w:fill="E7E6E6"/>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新</w:t>
            </w:r>
          </w:p>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项</w:t>
            </w:r>
          </w:p>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目</w:t>
            </w:r>
          </w:p>
        </w:tc>
        <w:tc>
          <w:tcPr>
            <w:tcW w:w="884" w:type="pct"/>
            <w:tcBorders>
              <w:top w:val="single" w:color="auto" w:sz="4" w:space="0"/>
              <w:left w:val="single" w:color="auto" w:sz="4" w:space="0"/>
              <w:bottom w:val="single" w:color="auto" w:sz="4" w:space="0"/>
              <w:right w:val="single" w:color="auto" w:sz="4" w:space="0"/>
            </w:tcBorders>
            <w:shd w:val="clear" w:color="auto" w:fill="E7E6E6"/>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营业收入</w:t>
            </w:r>
          </w:p>
        </w:tc>
        <w:tc>
          <w:tcPr>
            <w:tcW w:w="1841" w:type="pct"/>
            <w:tcBorders>
              <w:top w:val="single" w:color="auto" w:sz="4" w:space="0"/>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7</w:t>
            </w:r>
            <w:r>
              <w:rPr>
                <w:rFonts w:hint="eastAsia" w:cs="Calibri" w:asciiTheme="minorEastAsia" w:hAnsiTheme="minorEastAsia" w:eastAsiaTheme="minorEastAsia"/>
                <w:color w:val="000000"/>
                <w:szCs w:val="21"/>
                <w:lang w:val="en-US" w:eastAsia="zh-CN" w:bidi="ar"/>
              </w:rPr>
              <w:t>,</w:t>
            </w:r>
            <w:r>
              <w:rPr>
                <w:rFonts w:hint="eastAsia" w:cs="Calibri" w:asciiTheme="minorEastAsia" w:hAnsiTheme="minorEastAsia" w:eastAsiaTheme="minorEastAsia"/>
                <w:color w:val="000000"/>
                <w:szCs w:val="21"/>
                <w:lang w:bidi="ar"/>
              </w:rPr>
              <w:t>101.34</w:t>
            </w:r>
          </w:p>
        </w:tc>
        <w:tc>
          <w:tcPr>
            <w:tcW w:w="1762" w:type="pct"/>
            <w:gridSpan w:val="2"/>
            <w:vMerge w:val="restart"/>
            <w:tcBorders>
              <w:top w:val="single" w:color="auto" w:sz="4" w:space="0"/>
              <w:left w:val="nil"/>
              <w:bottom w:val="single" w:color="auto" w:sz="4" w:space="0"/>
              <w:right w:val="single" w:color="auto" w:sz="4" w:space="0"/>
            </w:tcBorders>
            <w:noWrap/>
            <w:vAlign w:val="center"/>
          </w:tcPr>
          <w:p>
            <w:pPr>
              <w:widowControl/>
              <w:adjustRightInd w:val="0"/>
              <w:snapToGrid w:val="0"/>
              <w:spacing w:after="0" w:line="240" w:lineRule="auto"/>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如剔除深圳新项目对当年的损益</w:t>
            </w:r>
          </w:p>
          <w:p>
            <w:pPr>
              <w:widowControl/>
              <w:adjustRightInd w:val="0"/>
              <w:snapToGrid w:val="0"/>
              <w:spacing w:after="0" w:line="240" w:lineRule="auto"/>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影响，2022年原业务毛利率实为</w:t>
            </w:r>
          </w:p>
          <w:p>
            <w:pPr>
              <w:widowControl/>
              <w:adjustRightInd w:val="0"/>
              <w:snapToGrid w:val="0"/>
              <w:spacing w:after="0" w:line="240" w:lineRule="auto"/>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26.79%</w:t>
            </w:r>
          </w:p>
        </w:tc>
      </w:tr>
      <w:tr>
        <w:tblPrEx>
          <w:tblCellMar>
            <w:top w:w="0" w:type="dxa"/>
            <w:left w:w="108" w:type="dxa"/>
            <w:bottom w:w="0" w:type="dxa"/>
            <w:right w:w="108" w:type="dxa"/>
          </w:tblCellMar>
        </w:tblPrEx>
        <w:trPr>
          <w:trHeight w:val="385" w:hRule="atLeast"/>
        </w:trPr>
        <w:tc>
          <w:tcPr>
            <w:tcW w:w="513" w:type="pct"/>
            <w:vMerge w:val="continue"/>
            <w:tcBorders>
              <w:top w:val="single" w:color="auto" w:sz="4" w:space="0"/>
              <w:left w:val="single" w:color="auto" w:sz="4" w:space="0"/>
              <w:bottom w:val="single" w:color="auto" w:sz="4" w:space="0"/>
              <w:right w:val="single" w:color="auto" w:sz="4" w:space="0"/>
            </w:tcBorders>
            <w:shd w:val="clear" w:color="auto" w:fill="E7E6E6"/>
            <w:noWrap/>
            <w:vAlign w:val="center"/>
          </w:tcPr>
          <w:p>
            <w:pPr>
              <w:spacing w:after="160" w:line="256" w:lineRule="auto"/>
              <w:rPr>
                <w:rFonts w:asciiTheme="minorEastAsia" w:hAnsiTheme="minorEastAsia" w:eastAsiaTheme="minorEastAsia"/>
                <w:sz w:val="18"/>
                <w:szCs w:val="18"/>
              </w:rPr>
            </w:pPr>
          </w:p>
        </w:tc>
        <w:tc>
          <w:tcPr>
            <w:tcW w:w="884" w:type="pct"/>
            <w:tcBorders>
              <w:top w:val="single" w:color="auto" w:sz="4" w:space="0"/>
              <w:left w:val="single" w:color="auto" w:sz="4" w:space="0"/>
              <w:bottom w:val="single" w:color="auto" w:sz="4" w:space="0"/>
              <w:right w:val="single" w:color="auto" w:sz="4" w:space="0"/>
            </w:tcBorders>
            <w:shd w:val="clear" w:color="auto" w:fill="E7E6E6"/>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营业成本</w:t>
            </w:r>
          </w:p>
        </w:tc>
        <w:tc>
          <w:tcPr>
            <w:tcW w:w="1841" w:type="pct"/>
            <w:tcBorders>
              <w:top w:val="single" w:color="auto" w:sz="4" w:space="0"/>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8</w:t>
            </w:r>
            <w:r>
              <w:rPr>
                <w:rFonts w:hint="eastAsia" w:cs="Calibri" w:asciiTheme="minorEastAsia" w:hAnsiTheme="minorEastAsia" w:eastAsiaTheme="minorEastAsia"/>
                <w:color w:val="000000"/>
                <w:szCs w:val="21"/>
                <w:lang w:val="en-US" w:eastAsia="zh-CN" w:bidi="ar"/>
              </w:rPr>
              <w:t>,</w:t>
            </w:r>
            <w:r>
              <w:rPr>
                <w:rFonts w:hint="eastAsia" w:cs="Calibri" w:asciiTheme="minorEastAsia" w:hAnsiTheme="minorEastAsia" w:eastAsiaTheme="minorEastAsia"/>
                <w:color w:val="000000"/>
                <w:szCs w:val="21"/>
                <w:lang w:bidi="ar"/>
              </w:rPr>
              <w:t>189.81</w:t>
            </w:r>
          </w:p>
        </w:tc>
        <w:tc>
          <w:tcPr>
            <w:tcW w:w="1762" w:type="pct"/>
            <w:gridSpan w:val="2"/>
            <w:vMerge w:val="continue"/>
            <w:tcBorders>
              <w:top w:val="single" w:color="auto" w:sz="4" w:space="0"/>
              <w:left w:val="nil"/>
              <w:bottom w:val="single" w:color="auto" w:sz="4" w:space="0"/>
              <w:right w:val="single" w:color="auto" w:sz="4" w:space="0"/>
            </w:tcBorders>
            <w:noWrap/>
            <w:vAlign w:val="center"/>
          </w:tcPr>
          <w:p>
            <w:pPr>
              <w:spacing w:after="160" w:line="256" w:lineRule="auto"/>
              <w:rPr>
                <w:rFonts w:asciiTheme="minorEastAsia" w:hAnsiTheme="minorEastAsia" w:eastAsiaTheme="minorEastAsia"/>
                <w:sz w:val="18"/>
                <w:szCs w:val="18"/>
              </w:rPr>
            </w:pPr>
          </w:p>
        </w:tc>
      </w:tr>
      <w:tr>
        <w:tblPrEx>
          <w:tblCellMar>
            <w:top w:w="0" w:type="dxa"/>
            <w:left w:w="108" w:type="dxa"/>
            <w:bottom w:w="0" w:type="dxa"/>
            <w:right w:w="108" w:type="dxa"/>
          </w:tblCellMar>
        </w:tblPrEx>
        <w:trPr>
          <w:trHeight w:val="385" w:hRule="atLeast"/>
        </w:trPr>
        <w:tc>
          <w:tcPr>
            <w:tcW w:w="513" w:type="pct"/>
            <w:vMerge w:val="continue"/>
            <w:tcBorders>
              <w:top w:val="single" w:color="auto" w:sz="4" w:space="0"/>
              <w:left w:val="single" w:color="auto" w:sz="4" w:space="0"/>
              <w:bottom w:val="single" w:color="auto" w:sz="4" w:space="0"/>
              <w:right w:val="single" w:color="auto" w:sz="4" w:space="0"/>
            </w:tcBorders>
            <w:shd w:val="clear" w:color="auto" w:fill="E7E6E6"/>
            <w:noWrap/>
            <w:vAlign w:val="center"/>
          </w:tcPr>
          <w:p>
            <w:pPr>
              <w:spacing w:after="160" w:line="256" w:lineRule="auto"/>
              <w:rPr>
                <w:rFonts w:asciiTheme="minorEastAsia" w:hAnsiTheme="minorEastAsia" w:eastAsiaTheme="minorEastAsia"/>
                <w:sz w:val="18"/>
                <w:szCs w:val="18"/>
              </w:rPr>
            </w:pPr>
          </w:p>
        </w:tc>
        <w:tc>
          <w:tcPr>
            <w:tcW w:w="884" w:type="pct"/>
            <w:tcBorders>
              <w:top w:val="single" w:color="auto" w:sz="4" w:space="0"/>
              <w:left w:val="single" w:color="auto" w:sz="4" w:space="0"/>
              <w:bottom w:val="single" w:color="auto" w:sz="4" w:space="0"/>
              <w:right w:val="single" w:color="auto" w:sz="4" w:space="0"/>
            </w:tcBorders>
            <w:shd w:val="clear" w:color="auto" w:fill="E7E6E6"/>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宋体" w:asciiTheme="minorEastAsia" w:hAnsiTheme="minorEastAsia" w:eastAsiaTheme="minorEastAsia"/>
                <w:color w:val="000000"/>
                <w:szCs w:val="21"/>
                <w:lang w:bidi="ar"/>
              </w:rPr>
              <w:t>毛利率</w:t>
            </w:r>
          </w:p>
        </w:tc>
        <w:tc>
          <w:tcPr>
            <w:tcW w:w="1841" w:type="pct"/>
            <w:tcBorders>
              <w:top w:val="nil"/>
              <w:left w:val="nil"/>
              <w:bottom w:val="single" w:color="auto" w:sz="4" w:space="0"/>
              <w:right w:val="single" w:color="auto" w:sz="4" w:space="0"/>
            </w:tcBorders>
            <w:noWrap/>
            <w:vAlign w:val="center"/>
          </w:tcPr>
          <w:p>
            <w:pPr>
              <w:widowControl/>
              <w:adjustRightInd w:val="0"/>
              <w:snapToGrid w:val="0"/>
              <w:spacing w:before="100" w:after="100" w:line="240" w:lineRule="auto"/>
              <w:jc w:val="center"/>
              <w:rPr>
                <w:rFonts w:cs="Calibri" w:asciiTheme="minorEastAsia" w:hAnsiTheme="minorEastAsia" w:eastAsiaTheme="minorEastAsia"/>
                <w:color w:val="000000"/>
                <w:szCs w:val="21"/>
              </w:rPr>
            </w:pPr>
            <w:r>
              <w:rPr>
                <w:rFonts w:hint="eastAsia" w:cs="Calibri" w:asciiTheme="minorEastAsia" w:hAnsiTheme="minorEastAsia" w:eastAsiaTheme="minorEastAsia"/>
                <w:color w:val="000000"/>
                <w:szCs w:val="21"/>
                <w:lang w:bidi="ar"/>
              </w:rPr>
              <w:t>-15.33%</w:t>
            </w:r>
          </w:p>
        </w:tc>
        <w:tc>
          <w:tcPr>
            <w:tcW w:w="1762" w:type="pct"/>
            <w:gridSpan w:val="2"/>
            <w:vMerge w:val="continue"/>
            <w:tcBorders>
              <w:top w:val="single" w:color="auto" w:sz="4" w:space="0"/>
              <w:left w:val="nil"/>
              <w:bottom w:val="single" w:color="auto" w:sz="4" w:space="0"/>
              <w:right w:val="single" w:color="auto" w:sz="4" w:space="0"/>
            </w:tcBorders>
            <w:noWrap/>
            <w:vAlign w:val="center"/>
          </w:tcPr>
          <w:p>
            <w:pPr>
              <w:spacing w:after="160" w:line="256" w:lineRule="auto"/>
              <w:rPr>
                <w:rFonts w:asciiTheme="minorEastAsia" w:hAnsiTheme="minorEastAsia" w:eastAsiaTheme="minorEastAsia"/>
                <w:sz w:val="18"/>
                <w:szCs w:val="18"/>
              </w:rPr>
            </w:pPr>
          </w:p>
        </w:tc>
      </w:tr>
    </w:tbl>
    <w:p>
      <w:pPr>
        <w:spacing w:line="360" w:lineRule="auto"/>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报告期内深圳新项目对损益的影响</w:t>
      </w:r>
      <w:r>
        <w:rPr>
          <w:rFonts w:asciiTheme="minorEastAsia" w:hAnsiTheme="minorEastAsia" w:eastAsiaTheme="minorEastAsia"/>
          <w:b/>
          <w:bCs/>
          <w:szCs w:val="21"/>
        </w:rPr>
        <w:t>：</w:t>
      </w:r>
    </w:p>
    <w:p>
      <w:pPr>
        <w:pStyle w:val="9"/>
        <w:adjustRightInd w:val="0"/>
        <w:snapToGrid w:val="0"/>
        <w:spacing w:before="100" w:beforeAutospacing="0" w:after="100" w:afterAutospacing="0"/>
        <w:ind w:firstLine="42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深圳新项目7月开始试产，截止2022年12月31日，</w:t>
      </w:r>
      <w:r>
        <w:rPr>
          <w:rFonts w:asciiTheme="minorEastAsia" w:hAnsiTheme="minorEastAsia" w:eastAsiaTheme="minorEastAsia"/>
          <w:color w:val="000000"/>
          <w:sz w:val="21"/>
          <w:szCs w:val="21"/>
        </w:rPr>
        <w:t>深圳</w:t>
      </w:r>
      <w:r>
        <w:rPr>
          <w:rFonts w:hint="eastAsia" w:asciiTheme="minorEastAsia" w:hAnsiTheme="minorEastAsia" w:eastAsiaTheme="minorEastAsia"/>
          <w:color w:val="000000"/>
          <w:sz w:val="21"/>
          <w:szCs w:val="21"/>
        </w:rPr>
        <w:t>新项目共实现收入7</w:t>
      </w:r>
      <w:r>
        <w:rPr>
          <w:rFonts w:hint="eastAsia" w:asciiTheme="minorEastAsia" w:hAnsiTheme="minorEastAsia" w:eastAsiaTheme="minorEastAsia"/>
          <w:color w:val="000000"/>
          <w:sz w:val="21"/>
          <w:szCs w:val="21"/>
          <w:lang w:val="en-US" w:eastAsia="zh-CN"/>
        </w:rPr>
        <w:t>,</w:t>
      </w:r>
      <w:r>
        <w:rPr>
          <w:rFonts w:hint="eastAsia" w:asciiTheme="minorEastAsia" w:hAnsiTheme="minorEastAsia" w:eastAsiaTheme="minorEastAsia"/>
          <w:color w:val="000000"/>
          <w:sz w:val="21"/>
          <w:szCs w:val="21"/>
        </w:rPr>
        <w:t>101.34万元，亏损2</w:t>
      </w:r>
      <w:r>
        <w:rPr>
          <w:rFonts w:hint="eastAsia" w:asciiTheme="minorEastAsia" w:hAnsiTheme="minorEastAsia" w:eastAsiaTheme="minorEastAsia"/>
          <w:color w:val="000000"/>
          <w:sz w:val="21"/>
          <w:szCs w:val="21"/>
          <w:lang w:val="en-US" w:eastAsia="zh-CN"/>
        </w:rPr>
        <w:t>,</w:t>
      </w:r>
      <w:r>
        <w:rPr>
          <w:rFonts w:hint="eastAsia" w:asciiTheme="minorEastAsia" w:hAnsiTheme="minorEastAsia" w:eastAsiaTheme="minorEastAsia"/>
          <w:color w:val="000000"/>
          <w:sz w:val="21"/>
          <w:szCs w:val="21"/>
        </w:rPr>
        <w:t>438.73万元，亏损原因一是试产阶段成本；二是人员培训成本；三是启动和产能爬坡阶段租金成本的摊销所致。如剔除深圳新项目对当年的损益</w:t>
      </w:r>
      <w:r>
        <w:rPr>
          <w:rFonts w:asciiTheme="minorEastAsia" w:hAnsiTheme="minorEastAsia" w:eastAsiaTheme="minorEastAsia"/>
          <w:color w:val="000000"/>
          <w:sz w:val="21"/>
          <w:szCs w:val="21"/>
        </w:rPr>
        <w:t>的影响</w:t>
      </w:r>
      <w:r>
        <w:rPr>
          <w:rFonts w:hint="eastAsia" w:asciiTheme="minorEastAsia" w:hAnsiTheme="minorEastAsia" w:eastAsiaTheme="minorEastAsia"/>
          <w:color w:val="000000"/>
          <w:sz w:val="21"/>
          <w:szCs w:val="21"/>
        </w:rPr>
        <w:t>，2022年原业务归母净利润38</w:t>
      </w:r>
      <w:r>
        <w:rPr>
          <w:rFonts w:hint="eastAsia" w:asciiTheme="minorEastAsia" w:hAnsiTheme="minorEastAsia" w:eastAsiaTheme="minorEastAsia"/>
          <w:color w:val="000000"/>
          <w:sz w:val="21"/>
          <w:szCs w:val="21"/>
          <w:lang w:val="en-US" w:eastAsia="zh-CN"/>
        </w:rPr>
        <w:t>,</w:t>
      </w:r>
      <w:r>
        <w:rPr>
          <w:rFonts w:hint="eastAsia" w:asciiTheme="minorEastAsia" w:hAnsiTheme="minorEastAsia" w:eastAsiaTheme="minorEastAsia"/>
          <w:color w:val="000000"/>
          <w:sz w:val="21"/>
          <w:szCs w:val="21"/>
        </w:rPr>
        <w:t>257.9</w:t>
      </w:r>
      <w:r>
        <w:rPr>
          <w:rFonts w:hint="eastAsia" w:asciiTheme="minorEastAsia" w:hAnsiTheme="minorEastAsia" w:eastAsiaTheme="minorEastAsia"/>
          <w:color w:val="000000"/>
          <w:sz w:val="21"/>
          <w:szCs w:val="21"/>
          <w:lang w:val="en-US" w:eastAsia="zh-CN"/>
        </w:rPr>
        <w:t>2</w:t>
      </w:r>
      <w:r>
        <w:rPr>
          <w:rFonts w:hint="eastAsia" w:asciiTheme="minorEastAsia" w:hAnsiTheme="minorEastAsia" w:eastAsiaTheme="minorEastAsia"/>
          <w:color w:val="000000"/>
          <w:sz w:val="21"/>
          <w:szCs w:val="21"/>
        </w:rPr>
        <w:t>万元，同比增长23.69%。</w:t>
      </w:r>
    </w:p>
    <w:p>
      <w:pPr>
        <w:pStyle w:val="17"/>
        <w:numPr>
          <w:ilvl w:val="0"/>
          <w:numId w:val="1"/>
        </w:numPr>
        <w:spacing w:line="360" w:lineRule="auto"/>
        <w:outlineLvl w:val="1"/>
        <w:rPr>
          <w:rFonts w:hint="eastAsia" w:ascii="宋体" w:hAnsi="宋体"/>
          <w:bCs w:val="0"/>
        </w:rPr>
      </w:pPr>
      <w:r>
        <w:rPr>
          <w:rFonts w:hint="eastAsia" w:ascii="宋体" w:hAnsi="宋体"/>
          <w:bCs w:val="0"/>
        </w:rPr>
        <w:t>公司所属行业及报告期内发展趋势</w:t>
      </w:r>
    </w:p>
    <w:p>
      <w:pPr>
        <w:autoSpaceDE w:val="0"/>
        <w:spacing w:before="0" w:after="0" w:line="360" w:lineRule="auto"/>
        <w:ind w:firstLine="420" w:firstLineChars="200"/>
        <w:rPr>
          <w:rFonts w:hint="eastAsia" w:ascii="宋体" w:hAnsi="宋体" w:eastAsia="宋体" w:cs="宋体"/>
          <w:sz w:val="21"/>
          <w:szCs w:val="21"/>
          <w:lang w:bidi="ar"/>
        </w:rPr>
      </w:pPr>
      <w:r>
        <w:rPr>
          <w:rFonts w:hint="eastAsia" w:ascii="宋体" w:hAnsi="宋体" w:eastAsia="宋体" w:cs="宋体"/>
          <w:sz w:val="21"/>
          <w:szCs w:val="21"/>
          <w:lang w:bidi="ar"/>
        </w:rPr>
        <w:t>公司所处行业为现代供应链服务业，细分领域是制造业生产性物流，主要为先进制造企业提供数字化、一体化、端到端的生产性物流解决方案。发展趋势如下：</w:t>
      </w:r>
    </w:p>
    <w:p>
      <w:pPr>
        <w:pStyle w:val="9"/>
        <w:spacing w:before="40" w:beforeAutospacing="0" w:after="40" w:afterAutospacing="0" w:line="360" w:lineRule="auto"/>
        <w:ind w:firstLine="420"/>
        <w:rPr>
          <w:b/>
          <w:bCs/>
          <w:color w:val="000000"/>
          <w:sz w:val="21"/>
          <w:szCs w:val="21"/>
        </w:rPr>
      </w:pPr>
      <w:r>
        <w:rPr>
          <w:b/>
          <w:bCs/>
          <w:color w:val="000000"/>
          <w:sz w:val="21"/>
          <w:szCs w:val="21"/>
        </w:rPr>
        <w:t>1</w:t>
      </w:r>
      <w:r>
        <w:rPr>
          <w:rFonts w:hint="eastAsia"/>
          <w:b/>
          <w:bCs/>
          <w:color w:val="000000"/>
          <w:sz w:val="21"/>
          <w:szCs w:val="21"/>
        </w:rPr>
        <w:t>）相较发达国家，中国物流市场具有广阔提质增效空间，数字供应链是重要措施之一</w:t>
      </w:r>
    </w:p>
    <w:p>
      <w:pPr>
        <w:autoSpaceDE w:val="0"/>
        <w:spacing w:before="0" w:after="0" w:line="360" w:lineRule="auto"/>
        <w:ind w:firstLine="420" w:firstLineChars="200"/>
        <w:rPr>
          <w:rFonts w:hint="eastAsia" w:ascii="宋体" w:hAnsi="宋体" w:eastAsia="宋体" w:cs="宋体"/>
          <w:sz w:val="21"/>
          <w:szCs w:val="21"/>
          <w:lang w:bidi="ar"/>
        </w:rPr>
      </w:pPr>
      <w:r>
        <w:rPr>
          <w:rFonts w:hint="eastAsia" w:ascii="宋体" w:hAnsi="宋体" w:eastAsia="宋体" w:cs="宋体"/>
          <w:sz w:val="21"/>
          <w:szCs w:val="21"/>
          <w:lang w:bidi="ar"/>
        </w:rPr>
        <w:t>我国社会物流费用占GDP占比总体呈下降趋势，但仍远高于欧美发达国家的水平，反映我国物流效率还有较大提升空间。2022年中国物流成本17.8万亿元，占GDP比重14.7%。对标美国来看（8%），若通过系列专业化、数字化措施推动物流行业提质增效，假设占比为12%，中国的物流成本约有万亿级下降空间。在这样的背景下，作为物流行业发展的高阶形式，致力于优化效率、助力企业实现降本增效的现代供应链行业市场前景广阔。</w:t>
      </w:r>
    </w:p>
    <w:p>
      <w:pPr>
        <w:pStyle w:val="9"/>
        <w:spacing w:before="40" w:beforeAutospacing="0" w:after="40" w:afterAutospacing="0" w:line="360" w:lineRule="auto"/>
        <w:ind w:firstLine="420"/>
        <w:rPr>
          <w:b/>
          <w:bCs/>
          <w:color w:val="000000"/>
          <w:sz w:val="21"/>
          <w:szCs w:val="21"/>
        </w:rPr>
      </w:pPr>
      <w:r>
        <w:rPr>
          <w:b/>
          <w:bCs/>
          <w:color w:val="000000"/>
          <w:sz w:val="21"/>
          <w:szCs w:val="21"/>
        </w:rPr>
        <w:t>2</w:t>
      </w:r>
      <w:r>
        <w:rPr>
          <w:rFonts w:hint="eastAsia"/>
          <w:b/>
          <w:bCs/>
          <w:color w:val="000000"/>
          <w:sz w:val="21"/>
          <w:szCs w:val="21"/>
        </w:rPr>
        <w:t>）</w:t>
      </w:r>
      <w:r>
        <w:rPr>
          <w:b/>
          <w:bCs/>
          <w:color w:val="000000"/>
          <w:sz w:val="21"/>
          <w:szCs w:val="21"/>
        </w:rPr>
        <w:t>在数字经济时代，</w:t>
      </w:r>
      <w:r>
        <w:rPr>
          <w:rFonts w:hint="eastAsia"/>
          <w:b/>
          <w:bCs/>
          <w:color w:val="000000"/>
          <w:sz w:val="21"/>
          <w:szCs w:val="21"/>
        </w:rPr>
        <w:t>生产性物流</w:t>
      </w:r>
      <w:r>
        <w:rPr>
          <w:b/>
          <w:bCs/>
          <w:color w:val="000000"/>
          <w:sz w:val="21"/>
          <w:szCs w:val="21"/>
        </w:rPr>
        <w:t>与制造业将更加深度融合</w:t>
      </w:r>
    </w:p>
    <w:p>
      <w:pPr>
        <w:autoSpaceDE w:val="0"/>
        <w:spacing w:before="0" w:after="0" w:line="360" w:lineRule="auto"/>
        <w:ind w:firstLine="420" w:firstLineChars="200"/>
        <w:rPr>
          <w:rFonts w:hint="eastAsia" w:ascii="宋体" w:hAnsi="宋体" w:eastAsia="宋体" w:cs="宋体"/>
          <w:sz w:val="21"/>
          <w:szCs w:val="21"/>
          <w:lang w:bidi="ar"/>
        </w:rPr>
      </w:pPr>
      <w:r>
        <w:rPr>
          <w:rFonts w:hint="eastAsia" w:ascii="宋体" w:hAnsi="宋体" w:eastAsia="宋体" w:cs="宋体"/>
          <w:sz w:val="21"/>
          <w:szCs w:val="21"/>
          <w:lang w:bidi="ar"/>
        </w:rPr>
        <w:t>在数字经济蓬勃发展的时代，强大、数智和安全的制造业供应链体系是中国制造由大国向强国迈进的核心竞争力。在国家战略指引下，制造业服务化，服务业制造化已蔚然成风，自动、无人、智能、低碳已成为行业发展的重要趋势之一。党的“二十大”报告明确提出：建设现代化产业体系，坚持把发展经济的着力点放在实体经济上，推进新型工业化。实体经济的振兴和发展，离不开现代供应链服务业的支持，尤其需要以数智化核心竞争力为基础，以可信平台为载体的生产性物流的赋能模式，以及具有全链条服务功能、全过程精准管控的生产性物流解决方案。</w:t>
      </w:r>
    </w:p>
    <w:p>
      <w:pPr>
        <w:pStyle w:val="9"/>
        <w:spacing w:before="40" w:beforeAutospacing="0" w:after="40" w:afterAutospacing="0" w:line="360" w:lineRule="auto"/>
        <w:ind w:firstLine="420"/>
        <w:rPr>
          <w:b/>
          <w:bCs/>
          <w:color w:val="000000"/>
          <w:sz w:val="21"/>
          <w:szCs w:val="21"/>
        </w:rPr>
      </w:pPr>
      <w:r>
        <w:rPr>
          <w:b/>
          <w:bCs/>
          <w:color w:val="000000"/>
          <w:sz w:val="21"/>
          <w:szCs w:val="21"/>
        </w:rPr>
        <w:t>3</w:t>
      </w:r>
      <w:r>
        <w:rPr>
          <w:rFonts w:hint="eastAsia"/>
          <w:b/>
          <w:bCs/>
          <w:color w:val="000000"/>
          <w:sz w:val="21"/>
          <w:szCs w:val="21"/>
        </w:rPr>
        <w:t>）</w:t>
      </w:r>
      <w:r>
        <w:rPr>
          <w:b/>
          <w:bCs/>
          <w:color w:val="000000"/>
          <w:sz w:val="21"/>
          <w:szCs w:val="21"/>
        </w:rPr>
        <w:t>一体化</w:t>
      </w:r>
      <w:r>
        <w:rPr>
          <w:rFonts w:hint="eastAsia"/>
          <w:b/>
          <w:bCs/>
          <w:color w:val="000000"/>
          <w:sz w:val="21"/>
          <w:szCs w:val="21"/>
        </w:rPr>
        <w:t>生产性物流</w:t>
      </w:r>
      <w:r>
        <w:rPr>
          <w:b/>
          <w:bCs/>
          <w:color w:val="000000"/>
          <w:sz w:val="21"/>
          <w:szCs w:val="21"/>
        </w:rPr>
        <w:t>服务是产业分工细化的必然趋势</w:t>
      </w:r>
    </w:p>
    <w:p>
      <w:pPr>
        <w:autoSpaceDE w:val="0"/>
        <w:spacing w:before="0" w:after="0" w:line="360" w:lineRule="auto"/>
        <w:ind w:firstLine="420" w:firstLineChars="200"/>
        <w:rPr>
          <w:rFonts w:hint="eastAsia" w:ascii="宋体" w:hAnsi="宋体" w:eastAsia="宋体" w:cs="宋体"/>
          <w:sz w:val="21"/>
          <w:szCs w:val="21"/>
          <w:lang w:bidi="ar"/>
        </w:rPr>
      </w:pPr>
      <w:r>
        <w:rPr>
          <w:rFonts w:hint="eastAsia" w:ascii="宋体" w:hAnsi="宋体" w:eastAsia="宋体" w:cs="宋体"/>
          <w:sz w:val="21"/>
          <w:szCs w:val="21"/>
          <w:lang w:bidi="ar"/>
        </w:rPr>
        <w:t>一体化生产性物流外包服务是一种战略性、长期性、合作性的运营方式，是现代供应链管理思想下的新型企业合作方式，具有业务专业、运营成本低、服务质量高等优点，能够集中企业的资源，提升核心竞争力。未来制造企业的生产性物流外包的范围和比例将进一步放大。数据显示，预计2020-2025年期间,外包物流规模将从6.5万亿元增至9.2万亿元,复合增速7.1%，其中一体化生产性物流预计占比将从2020年的30%持续提升。目前，我国大多数制造业生产性物流服务功能单一，为实体企业提供客制化服务的能力薄弱，一体化生产性物流服务的行业渗透度及服务集成度都不高。在振兴制造业、做强产业链和供应链安全的要求下，生产性物流数字化管理、抗风险能力以及网格化布局显得非常重要，一体化的供应链和数字化需求趋势明显 ，供应链网络化协同和能力组合要求增加，这将催生制造业生产性物流向平台化、一体化、数字化、集约化和运营精细化发展。未来工业物流的竞争将围绕数字化运营能力和有效增值而展开。</w:t>
      </w:r>
    </w:p>
    <w:p>
      <w:pPr>
        <w:pStyle w:val="9"/>
        <w:spacing w:before="40" w:beforeAutospacing="0" w:after="40" w:afterAutospacing="0" w:line="360" w:lineRule="auto"/>
        <w:ind w:firstLine="420"/>
        <w:rPr>
          <w:b/>
          <w:bCs/>
          <w:color w:val="000000"/>
          <w:sz w:val="21"/>
          <w:szCs w:val="21"/>
        </w:rPr>
      </w:pPr>
      <w:r>
        <w:rPr>
          <w:b/>
          <w:bCs/>
          <w:color w:val="000000"/>
          <w:sz w:val="21"/>
          <w:szCs w:val="21"/>
        </w:rPr>
        <w:t>4</w:t>
      </w:r>
      <w:r>
        <w:rPr>
          <w:rFonts w:hint="eastAsia"/>
          <w:b/>
          <w:bCs/>
          <w:color w:val="000000"/>
          <w:sz w:val="21"/>
          <w:szCs w:val="21"/>
        </w:rPr>
        <w:t>）随着</w:t>
      </w:r>
      <w:r>
        <w:rPr>
          <w:b/>
          <w:bCs/>
          <w:color w:val="000000"/>
          <w:sz w:val="21"/>
          <w:szCs w:val="21"/>
        </w:rPr>
        <w:t>生产性物流</w:t>
      </w:r>
      <w:r>
        <w:rPr>
          <w:rFonts w:hint="eastAsia"/>
          <w:b/>
          <w:bCs/>
          <w:color w:val="000000"/>
          <w:sz w:val="21"/>
          <w:szCs w:val="21"/>
        </w:rPr>
        <w:t>智能化加速，自动化物流装备市场规模增大</w:t>
      </w:r>
    </w:p>
    <w:p>
      <w:pPr>
        <w:autoSpaceDE w:val="0"/>
        <w:spacing w:before="0" w:after="0" w:line="360" w:lineRule="auto"/>
        <w:ind w:firstLine="420" w:firstLineChars="200"/>
        <w:rPr>
          <w:rFonts w:hint="eastAsia" w:ascii="宋体" w:hAnsi="宋体" w:eastAsia="宋体" w:cs="宋体"/>
          <w:sz w:val="21"/>
          <w:szCs w:val="21"/>
          <w:lang w:bidi="ar"/>
        </w:rPr>
      </w:pPr>
      <w:r>
        <w:rPr>
          <w:rFonts w:hint="eastAsia" w:ascii="宋体" w:hAnsi="宋体" w:eastAsia="宋体" w:cs="宋体"/>
          <w:sz w:val="21"/>
          <w:szCs w:val="21"/>
          <w:lang w:bidi="ar"/>
        </w:rPr>
        <w:t>VUCA（易变性、不定性、复杂性与模糊性）时代下，从JIT（Just-in-time准时制生产方式）到JIC（Just-in-case保障性的生产），市场呼唤更加智能化、数字化、柔性化、兼容化的供应链服务体系，自动化物流装备的大规模应用成为必然选择。AS/RS自动化立库、AGV小车、智能分拣系统、电子标签分拣货架等自动化物流装备在企业里的应用速度正在加快。在工业4.0智能工厂的框架内，智慧物流是连接供应和生产的重要环节，是构建智能工厂的基石，推动了我国自动化物流系统市场规模的快速发展，预计2023年我国自动化物流装备市场规模将超2,900亿元。</w:t>
      </w:r>
    </w:p>
    <w:p>
      <w:pPr>
        <w:pStyle w:val="9"/>
        <w:spacing w:before="40" w:beforeAutospacing="0" w:after="40" w:afterAutospacing="0" w:line="360" w:lineRule="auto"/>
        <w:ind w:firstLine="420"/>
        <w:rPr>
          <w:b/>
          <w:bCs/>
          <w:color w:val="000000"/>
          <w:sz w:val="21"/>
          <w:szCs w:val="21"/>
        </w:rPr>
      </w:pPr>
      <w:r>
        <w:rPr>
          <w:rFonts w:hint="eastAsia"/>
          <w:b/>
          <w:bCs/>
          <w:color w:val="000000"/>
          <w:sz w:val="21"/>
          <w:szCs w:val="21"/>
        </w:rPr>
        <w:t>5）低碳、绿色是生产性物流行业发展的未来</w:t>
      </w:r>
    </w:p>
    <w:p>
      <w:pPr>
        <w:autoSpaceDE w:val="0"/>
        <w:spacing w:before="0" w:after="0" w:line="360" w:lineRule="auto"/>
        <w:ind w:firstLine="420" w:firstLineChars="200"/>
        <w:rPr>
          <w:rFonts w:hint="eastAsia" w:ascii="宋体" w:hAnsi="宋体" w:eastAsia="宋体" w:cs="宋体"/>
          <w:sz w:val="21"/>
          <w:szCs w:val="21"/>
          <w:lang w:bidi="ar"/>
        </w:rPr>
      </w:pPr>
      <w:r>
        <w:rPr>
          <w:rFonts w:hint="eastAsia" w:ascii="宋体" w:hAnsi="宋体" w:eastAsia="宋体" w:cs="宋体"/>
          <w:sz w:val="21"/>
          <w:szCs w:val="21"/>
          <w:lang w:bidi="ar"/>
        </w:rPr>
        <w:t>物流作为国民经济发展的战略性、基础性、先导性产业，涉及运输、仓储、配送、信息等众多领域，是节能与碳减排的关键产业。无人、低碳、绿色物流的发展将对物流行业产生深远的影响。首先，它将有助于减少物流运作对环境的影响，降低能源消耗和废弃物产生。其次，它将伴随物流行业的数字化和智能化，降低物流运营的社会成本，提高全社会物流运作效率，最后，它将通过物流运作的绿色化和环保化，推动全社会的可持续发展。</w:t>
      </w:r>
    </w:p>
    <w:p>
      <w:pPr>
        <w:pStyle w:val="17"/>
        <w:numPr>
          <w:ilvl w:val="0"/>
          <w:numId w:val="1"/>
        </w:numPr>
        <w:spacing w:line="360" w:lineRule="auto"/>
        <w:outlineLvl w:val="1"/>
        <w:rPr>
          <w:rFonts w:hint="eastAsia" w:ascii="宋体" w:hAnsi="宋体"/>
          <w:bCs w:val="0"/>
          <w:lang w:val="en-US" w:eastAsia="zh-CN"/>
        </w:rPr>
      </w:pPr>
      <w:r>
        <w:rPr>
          <w:rFonts w:hint="eastAsia" w:ascii="宋体" w:hAnsi="宋体"/>
          <w:bCs w:val="0"/>
          <w:lang w:val="en-US" w:eastAsia="zh-CN"/>
        </w:rPr>
        <w:t>报告期内公司主要业绩驱动因素</w:t>
      </w:r>
    </w:p>
    <w:bookmarkEnd w:id="0"/>
    <w:p>
      <w:pPr>
        <w:autoSpaceDE w:val="0"/>
        <w:spacing w:before="0" w:after="0" w:line="360" w:lineRule="auto"/>
        <w:ind w:firstLine="420" w:firstLineChars="200"/>
        <w:rPr>
          <w:rFonts w:hint="eastAsia" w:ascii="宋体" w:hAnsi="宋体" w:eastAsia="宋体" w:cs="宋体"/>
          <w:sz w:val="21"/>
          <w:szCs w:val="21"/>
          <w:lang w:val="en-US" w:bidi="ar"/>
        </w:rPr>
      </w:pPr>
      <w:r>
        <w:rPr>
          <w:rFonts w:hint="eastAsia" w:ascii="宋体" w:hAnsi="宋体" w:eastAsia="宋体" w:cs="宋体"/>
          <w:sz w:val="21"/>
          <w:szCs w:val="21"/>
          <w:lang w:val="en-US" w:eastAsia="zh-CN" w:bidi="ar"/>
        </w:rPr>
        <w:t>政府的保供环境、海晨的骨干团队、公司的数智平台、产销两旺的订单是驱动业绩增长的主要因素。</w:t>
      </w:r>
    </w:p>
    <w:p>
      <w:pPr>
        <w:pStyle w:val="9"/>
        <w:keepNext w:val="0"/>
        <w:keepLines w:val="0"/>
        <w:widowControl/>
        <w:suppressLineNumbers w:val="0"/>
        <w:spacing w:before="40" w:beforeAutospacing="0" w:after="40" w:afterAutospacing="0" w:line="360" w:lineRule="auto"/>
        <w:ind w:left="0" w:right="0" w:firstLine="422" w:firstLineChars="200"/>
        <w:rPr>
          <w:rFonts w:hint="eastAsia" w:ascii="宋体" w:hAnsi="宋体" w:eastAsia="宋体" w:cs="宋体"/>
          <w:b/>
          <w:bCs/>
          <w:sz w:val="21"/>
          <w:szCs w:val="21"/>
          <w:lang w:val="en-US"/>
        </w:rPr>
      </w:pPr>
      <w:r>
        <w:rPr>
          <w:rFonts w:hint="eastAsia" w:ascii="宋体" w:hAnsi="宋体" w:eastAsia="宋体" w:cs="宋体"/>
          <w:b/>
          <w:bCs/>
          <w:sz w:val="21"/>
          <w:szCs w:val="21"/>
          <w:lang w:val="en-US" w:bidi="ar"/>
        </w:rPr>
        <w:t>1</w:t>
      </w:r>
      <w:r>
        <w:rPr>
          <w:rFonts w:hint="eastAsia" w:ascii="宋体" w:hAnsi="宋体" w:eastAsia="宋体" w:cs="宋体"/>
          <w:b/>
          <w:bCs/>
          <w:sz w:val="21"/>
          <w:szCs w:val="21"/>
          <w:lang w:eastAsia="zh-CN" w:bidi="ar"/>
        </w:rPr>
        <w:t>、政府搭台，助力保供的环境</w:t>
      </w:r>
    </w:p>
    <w:p>
      <w:pPr>
        <w:autoSpaceDE w:val="0"/>
        <w:spacing w:before="0" w:after="0" w:line="360" w:lineRule="auto"/>
        <w:ind w:firstLine="420" w:firstLineChars="200"/>
        <w:rPr>
          <w:rFonts w:hint="eastAsia" w:ascii="宋体" w:hAnsi="宋体" w:eastAsia="宋体" w:cs="宋体"/>
          <w:sz w:val="21"/>
          <w:szCs w:val="21"/>
          <w:lang w:val="en-US" w:bidi="ar"/>
        </w:rPr>
      </w:pPr>
      <w:r>
        <w:rPr>
          <w:rFonts w:hint="eastAsia" w:ascii="宋体" w:hAnsi="宋体" w:eastAsia="宋体" w:cs="宋体"/>
          <w:sz w:val="21"/>
          <w:szCs w:val="21"/>
          <w:lang w:val="en-US" w:eastAsia="zh-CN" w:bidi="ar"/>
        </w:rPr>
        <w:t>2022年3月5日政府工作报告指出“增强制造业核心竞争力，促进工业经济平稳运行，加强原材料、关键零部件等供给保障，实施龙头企业保链稳链工程，维护产业链供应链安全稳定。” 在复杂严峻的宏观经济环境和各种超预期因素影响下，各级政府和企业上下一心，调结构、强研发、上新品、拓市场，全力推动企业稳产、达产、满产，生产秩序加快恢复。2022年一季度，在光明区政府的大力支持下，公司承担了深圳光明区跨境运输集中接驳站的建设与营运，为保障深港两地居民生活与企业生产，满足生产、生活物质的流通需要，公司经过一周的紧急研发， “接驳通”平台应运而生。这一以数据驱动、物联世界、高效协同的物流云SAAS平台，实现了跨境接驳业务全流程管控、无接触操作，赢得了政府、客户的一致好评，是海晨迈向SAAS平台建设的坚实一步。</w:t>
      </w:r>
    </w:p>
    <w:p>
      <w:pPr>
        <w:pStyle w:val="9"/>
        <w:keepNext w:val="0"/>
        <w:keepLines w:val="0"/>
        <w:widowControl/>
        <w:suppressLineNumbers w:val="0"/>
        <w:spacing w:before="40" w:beforeAutospacing="0" w:after="40" w:afterAutospacing="0" w:line="360" w:lineRule="auto"/>
        <w:ind w:left="0" w:right="0" w:firstLine="422" w:firstLineChars="200"/>
        <w:rPr>
          <w:rFonts w:hint="eastAsia" w:ascii="宋体" w:hAnsi="宋体" w:eastAsia="宋体" w:cs="宋体"/>
          <w:b/>
          <w:bCs/>
          <w:sz w:val="21"/>
          <w:szCs w:val="21"/>
          <w:lang w:val="en-US"/>
        </w:rPr>
      </w:pPr>
      <w:r>
        <w:rPr>
          <w:rFonts w:hint="eastAsia" w:ascii="宋体" w:hAnsi="宋体" w:eastAsia="宋体" w:cs="宋体"/>
          <w:b/>
          <w:bCs/>
          <w:sz w:val="21"/>
          <w:szCs w:val="21"/>
          <w:lang w:val="en-US" w:bidi="ar"/>
        </w:rPr>
        <w:t>2</w:t>
      </w:r>
      <w:r>
        <w:rPr>
          <w:rFonts w:hint="eastAsia" w:ascii="宋体" w:hAnsi="宋体" w:eastAsia="宋体" w:cs="宋体"/>
          <w:b/>
          <w:bCs/>
          <w:sz w:val="21"/>
          <w:szCs w:val="21"/>
          <w:lang w:eastAsia="zh-CN" w:bidi="ar"/>
        </w:rPr>
        <w:t xml:space="preserve">、众志成城，团结拼搏的团队 </w:t>
      </w:r>
    </w:p>
    <w:p>
      <w:pPr>
        <w:autoSpaceDE w:val="0"/>
        <w:spacing w:before="0" w:after="0" w:line="360" w:lineRule="auto"/>
        <w:ind w:firstLine="420" w:firstLineChars="200"/>
        <w:rPr>
          <w:rFonts w:hint="eastAsia" w:ascii="宋体" w:hAnsi="宋体" w:eastAsia="宋体" w:cs="宋体"/>
          <w:sz w:val="21"/>
          <w:szCs w:val="21"/>
          <w:lang w:val="en-US" w:bidi="ar"/>
        </w:rPr>
      </w:pPr>
      <w:r>
        <w:rPr>
          <w:rFonts w:hint="eastAsia" w:ascii="宋体" w:hAnsi="宋体" w:eastAsia="宋体" w:cs="宋体"/>
          <w:sz w:val="21"/>
          <w:szCs w:val="21"/>
          <w:lang w:val="en-US" w:eastAsia="zh-CN" w:bidi="ar"/>
        </w:rPr>
        <w:t>2022年一季度华南深港物流通道一度面临中断风险；二季度华东供应链受阻，三季度深圳新项目面临短期内快速上线的压力，四季度复产复工，保供保生产。公司营运和销售团队日夜奋战，高效协同，发挥了承上启下的中坚力量，南战湾区、东战苏沪、公司和团队表现出来的抗风险能力和高质量服务给客户供应链安全提供了保障。</w:t>
      </w:r>
    </w:p>
    <w:p>
      <w:pPr>
        <w:pStyle w:val="9"/>
        <w:keepNext w:val="0"/>
        <w:keepLines w:val="0"/>
        <w:widowControl/>
        <w:suppressLineNumbers w:val="0"/>
        <w:spacing w:before="40" w:beforeAutospacing="0" w:after="40" w:afterAutospacing="0" w:line="360" w:lineRule="auto"/>
        <w:ind w:left="0" w:right="0" w:firstLine="422"/>
        <w:rPr>
          <w:rFonts w:hint="eastAsia" w:ascii="宋体" w:hAnsi="宋体" w:eastAsia="宋体" w:cs="宋体"/>
          <w:b/>
          <w:bCs/>
          <w:sz w:val="21"/>
          <w:szCs w:val="21"/>
          <w:lang w:val="en-US"/>
        </w:rPr>
      </w:pPr>
      <w:r>
        <w:rPr>
          <w:rFonts w:hint="eastAsia" w:ascii="宋体" w:hAnsi="宋体" w:eastAsia="宋体" w:cs="宋体"/>
          <w:b/>
          <w:bCs/>
          <w:sz w:val="21"/>
          <w:szCs w:val="21"/>
          <w:lang w:val="en-US" w:bidi="ar"/>
        </w:rPr>
        <w:t>3</w:t>
      </w:r>
      <w:r>
        <w:rPr>
          <w:rFonts w:hint="eastAsia" w:ascii="宋体" w:hAnsi="宋体" w:eastAsia="宋体" w:cs="宋体"/>
          <w:b/>
          <w:bCs/>
          <w:sz w:val="21"/>
          <w:szCs w:val="21"/>
          <w:lang w:eastAsia="zh-CN" w:bidi="ar"/>
        </w:rPr>
        <w:t>、智改数转，工业互联的平台</w:t>
      </w:r>
    </w:p>
    <w:p>
      <w:pPr>
        <w:autoSpaceDE w:val="0"/>
        <w:spacing w:before="0" w:after="0" w:line="360" w:lineRule="auto"/>
        <w:ind w:firstLine="420" w:firstLineChars="200"/>
        <w:rPr>
          <w:rFonts w:hint="eastAsia" w:ascii="宋体" w:hAnsi="宋体" w:eastAsia="宋体" w:cs="宋体"/>
          <w:sz w:val="21"/>
          <w:szCs w:val="21"/>
          <w:lang w:val="en-US" w:bidi="ar"/>
        </w:rPr>
      </w:pPr>
      <w:r>
        <w:rPr>
          <w:rFonts w:hint="eastAsia" w:ascii="宋体" w:hAnsi="宋体" w:eastAsia="宋体" w:cs="宋体"/>
          <w:sz w:val="21"/>
          <w:szCs w:val="21"/>
          <w:lang w:val="en-US" w:eastAsia="zh-CN" w:bidi="ar"/>
        </w:rPr>
        <w:t>2022年上半年制造业供应链经受众多挑战，公司依托移动、云、视讯、互联的生产性物流数智平台，实现了扁平化的管理，在小区管控、人货不能接触等诸多限制下，打破了物理隔断，迅速响应，统筹资源，最大程度地保障客户生产需要，赢得了客户好评，为公司带来良好的市场口碑，也为公司带来了新客户、新业务机会。</w:t>
      </w:r>
    </w:p>
    <w:p>
      <w:pPr>
        <w:pStyle w:val="9"/>
        <w:keepNext w:val="0"/>
        <w:keepLines w:val="0"/>
        <w:widowControl/>
        <w:suppressLineNumbers w:val="0"/>
        <w:spacing w:before="40" w:beforeAutospacing="0" w:after="40" w:afterAutospacing="0" w:line="360" w:lineRule="auto"/>
        <w:ind w:left="0" w:right="0" w:firstLine="422"/>
        <w:rPr>
          <w:rFonts w:hint="eastAsia" w:ascii="宋体" w:hAnsi="宋体" w:eastAsia="宋体" w:cs="宋体"/>
          <w:b/>
          <w:bCs/>
          <w:sz w:val="21"/>
          <w:szCs w:val="21"/>
          <w:lang w:val="en-US"/>
        </w:rPr>
      </w:pPr>
      <w:r>
        <w:rPr>
          <w:rFonts w:hint="eastAsia" w:ascii="宋体" w:hAnsi="宋体" w:eastAsia="宋体" w:cs="宋体"/>
          <w:b/>
          <w:bCs/>
          <w:sz w:val="21"/>
          <w:szCs w:val="21"/>
          <w:lang w:val="en-US" w:bidi="ar"/>
        </w:rPr>
        <w:t>4</w:t>
      </w:r>
      <w:r>
        <w:rPr>
          <w:rFonts w:hint="eastAsia" w:ascii="宋体" w:hAnsi="宋体" w:eastAsia="宋体" w:cs="宋体"/>
          <w:b/>
          <w:bCs/>
          <w:sz w:val="21"/>
          <w:szCs w:val="21"/>
          <w:lang w:eastAsia="zh-CN" w:bidi="ar"/>
        </w:rPr>
        <w:t>、特殊经济，产销两旺的订单</w:t>
      </w:r>
    </w:p>
    <w:p>
      <w:pPr>
        <w:autoSpaceDE w:val="0"/>
        <w:spacing w:before="0" w:after="0" w:line="360" w:lineRule="auto"/>
        <w:ind w:firstLine="420" w:firstLineChars="200"/>
        <w:rPr>
          <w:rFonts w:hint="eastAsia" w:ascii="宋体" w:hAnsi="宋体" w:eastAsia="宋体" w:cs="宋体"/>
          <w:sz w:val="21"/>
          <w:szCs w:val="21"/>
          <w:lang w:val="en-US" w:bidi="ar"/>
        </w:rPr>
      </w:pPr>
      <w:r>
        <w:rPr>
          <w:rFonts w:hint="eastAsia" w:ascii="宋体" w:hAnsi="宋体" w:eastAsia="宋体" w:cs="宋体"/>
          <w:sz w:val="21"/>
          <w:szCs w:val="21"/>
          <w:lang w:val="en-US" w:eastAsia="zh-CN" w:bidi="ar"/>
        </w:rPr>
        <w:t>2022年我国新能源汽车行业增长迅猛，产销两旺；产销分别完成705.8万辆和688.7万辆，同比增长96.9%和93.4%，居全球第一，带动公司新能源汽车行业收入同比增长超200%。同年一至三季度，3C电子制造业维持较快增长态势，且由于3C制造企业在数字化升级转型、供应链安全稳定等方面的需求显著增长，催生和加快了更加智能化和多样化的业务场景，在生产性物流企业的全局规划、资源保障、高效运营、柔性管理等方面的能力提出了更高的要求和入局的门槛，给与了持续在“高、新、专、精”方向基础夯实、务实进取的一体化生产性物流服务企业更广阔的市场前景和发展机遇。在合作逐渐深入的过程中，公司稳固了自身的业务基础并积累了与制造业客户进行深入联动和良好互动的业务经验，推动公司与客户的共同成长。</w:t>
      </w:r>
    </w:p>
    <w:p>
      <w:pPr>
        <w:keepNext/>
        <w:keepLines/>
        <w:spacing w:before="300" w:after="300" w:line="320" w:lineRule="exact"/>
        <w:jc w:val="left"/>
        <w:outlineLvl w:val="1"/>
        <w:rPr>
          <w:rFonts w:hint="eastAsia" w:ascii="宋体" w:hAnsi="宋体" w:eastAsia="宋体" w:cs="宋体"/>
          <w:b/>
          <w:bCs/>
          <w:sz w:val="24"/>
          <w:szCs w:val="24"/>
          <w:lang w:val="zh-CN" w:eastAsia="zh-CN"/>
        </w:rPr>
      </w:pPr>
      <w:r>
        <w:rPr>
          <w:rFonts w:hint="eastAsia" w:ascii="宋体" w:hAnsi="宋体" w:eastAsia="宋体" w:cs="宋体"/>
          <w:b/>
          <w:bCs/>
          <w:sz w:val="24"/>
          <w:szCs w:val="24"/>
          <w:lang w:val="en-US" w:eastAsia="zh-CN"/>
        </w:rPr>
        <w:t> </w:t>
      </w:r>
      <w:r>
        <w:rPr>
          <w:rFonts w:hint="eastAsia" w:ascii="宋体" w:hAnsi="宋体" w:cs="宋体"/>
          <w:b/>
          <w:bCs/>
          <w:sz w:val="24"/>
          <w:szCs w:val="24"/>
          <w:lang w:val="en-US" w:eastAsia="zh-CN"/>
        </w:rPr>
        <w:t>四</w:t>
      </w:r>
      <w:r>
        <w:rPr>
          <w:rFonts w:hint="eastAsia" w:ascii="宋体" w:hAnsi="宋体" w:eastAsia="宋体" w:cs="宋体"/>
          <w:b/>
          <w:bCs/>
          <w:sz w:val="24"/>
          <w:szCs w:val="24"/>
          <w:lang w:val="zh-CN" w:eastAsia="zh-CN"/>
        </w:rPr>
        <w:t>、202</w:t>
      </w:r>
      <w:r>
        <w:rPr>
          <w:rFonts w:hint="eastAsia" w:ascii="宋体" w:hAnsi="宋体" w:eastAsia="宋体" w:cs="宋体"/>
          <w:b/>
          <w:bCs/>
          <w:sz w:val="24"/>
          <w:szCs w:val="24"/>
          <w:lang w:val="en-US" w:eastAsia="zh-CN"/>
        </w:rPr>
        <w:t>3</w:t>
      </w:r>
      <w:r>
        <w:rPr>
          <w:rFonts w:hint="eastAsia" w:ascii="宋体" w:hAnsi="宋体" w:eastAsia="宋体" w:cs="宋体"/>
          <w:b/>
          <w:bCs/>
          <w:sz w:val="24"/>
          <w:szCs w:val="24"/>
          <w:lang w:val="zh-CN" w:eastAsia="zh-CN"/>
        </w:rPr>
        <w:t>年度经营规划</w:t>
      </w:r>
    </w:p>
    <w:p>
      <w:pPr>
        <w:pStyle w:val="9"/>
        <w:adjustRightInd w:val="0"/>
        <w:snapToGrid w:val="0"/>
        <w:spacing w:before="100" w:beforeAutospacing="0" w:after="100" w:afterAutospacing="0" w:line="360" w:lineRule="auto"/>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1、新项目</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智改数转</w:t>
      </w:r>
    </w:p>
    <w:p>
      <w:pPr>
        <w:pStyle w:val="9"/>
        <w:adjustRightInd w:val="0"/>
        <w:snapToGrid w:val="0"/>
        <w:spacing w:before="100" w:beforeAutospacing="0" w:after="100" w:afterAutospacing="0" w:line="360" w:lineRule="auto"/>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深圳新项目经营目标为2</w:t>
      </w:r>
      <w:r>
        <w:rPr>
          <w:rFonts w:cs="宋体" w:asciiTheme="minorEastAsia" w:hAnsiTheme="minorEastAsia" w:eastAsiaTheme="minorEastAsia"/>
          <w:sz w:val="21"/>
          <w:szCs w:val="21"/>
        </w:rPr>
        <w:t>3</w:t>
      </w:r>
      <w:r>
        <w:rPr>
          <w:rFonts w:hint="eastAsia" w:cs="宋体" w:asciiTheme="minorEastAsia" w:hAnsiTheme="minorEastAsia" w:eastAsiaTheme="minorEastAsia"/>
          <w:sz w:val="21"/>
          <w:szCs w:val="21"/>
        </w:rPr>
        <w:t>年实现盈亏基本平衡，打造海晨粤港澳大湾区标杆项目。</w:t>
      </w:r>
    </w:p>
    <w:p>
      <w:pPr>
        <w:pStyle w:val="9"/>
        <w:adjustRightInd w:val="0"/>
        <w:snapToGrid w:val="0"/>
        <w:spacing w:before="100" w:beforeAutospacing="0" w:after="100" w:afterAutospacing="0" w:line="360" w:lineRule="auto"/>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2、老客户</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提质增效</w:t>
      </w:r>
    </w:p>
    <w:p>
      <w:pPr>
        <w:pStyle w:val="9"/>
        <w:adjustRightInd w:val="0"/>
        <w:snapToGrid w:val="0"/>
        <w:spacing w:before="100" w:beforeAutospacing="0" w:after="100" w:afterAutospacing="0" w:line="360" w:lineRule="auto"/>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加强现场调研，针对复杂的经济形势和全球供应链本地化的趋势，采取“走进去，跟着走”的方式，实现业务抱团发展战略，并优化平台，利用新技术为客户提供增效解决方案并实施之。</w:t>
      </w:r>
    </w:p>
    <w:p>
      <w:pPr>
        <w:pStyle w:val="9"/>
        <w:adjustRightInd w:val="0"/>
        <w:snapToGrid w:val="0"/>
        <w:spacing w:before="100" w:beforeAutospacing="0" w:after="100" w:afterAutospacing="0" w:line="360" w:lineRule="auto"/>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3、新客户</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逐鹿东盟</w:t>
      </w:r>
    </w:p>
    <w:p>
      <w:pPr>
        <w:pStyle w:val="9"/>
        <w:adjustRightInd w:val="0"/>
        <w:snapToGrid w:val="0"/>
        <w:spacing w:before="100" w:beforeAutospacing="0" w:after="100" w:afterAutospacing="0" w:line="360" w:lineRule="auto"/>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跟随客户脚步，在现有海外8个分支机构的基础上，加大对东盟和上合组织的投资，开辟新客户和新商机。</w:t>
      </w:r>
    </w:p>
    <w:p>
      <w:pPr>
        <w:pStyle w:val="9"/>
        <w:adjustRightInd w:val="0"/>
        <w:snapToGrid w:val="0"/>
        <w:spacing w:before="100" w:beforeAutospacing="0" w:after="100" w:afterAutospacing="0" w:line="360" w:lineRule="auto"/>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4、新基建</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浓墨重彩</w:t>
      </w:r>
    </w:p>
    <w:p>
      <w:pPr>
        <w:pStyle w:val="9"/>
        <w:adjustRightInd w:val="0"/>
        <w:snapToGrid w:val="0"/>
        <w:spacing w:before="100" w:beforeAutospacing="0" w:after="100" w:afterAutospacing="0" w:line="360" w:lineRule="auto"/>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满足客户降本增效的需求，针对客户群的需求，按新基建的所见即所得的方法，将吴江冷链仓、常州新能仓、成都航空仓、深圳智能仓等项目建造成符合机器换人的高标准自动化仓储设施。</w:t>
      </w:r>
    </w:p>
    <w:p>
      <w:pPr>
        <w:pStyle w:val="9"/>
        <w:adjustRightInd w:val="0"/>
        <w:snapToGrid w:val="0"/>
        <w:spacing w:before="100" w:beforeAutospacing="0" w:after="100" w:afterAutospacing="0" w:line="360" w:lineRule="auto"/>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5、新能源</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继往开来</w:t>
      </w:r>
    </w:p>
    <w:p>
      <w:pPr>
        <w:pStyle w:val="9"/>
        <w:adjustRightInd w:val="0"/>
        <w:snapToGrid w:val="0"/>
        <w:spacing w:before="100" w:beforeAutospacing="0" w:after="100" w:afterAutospacing="0" w:line="360" w:lineRule="auto"/>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向新能源上下游发展，为新能源行业提供高速、高效、低成的3</w:t>
      </w:r>
      <w:r>
        <w:rPr>
          <w:rFonts w:cs="宋体" w:asciiTheme="minorEastAsia" w:hAnsiTheme="minorEastAsia" w:eastAsiaTheme="minorEastAsia"/>
          <w:sz w:val="21"/>
          <w:szCs w:val="21"/>
        </w:rPr>
        <w:t>C</w:t>
      </w:r>
      <w:r>
        <w:rPr>
          <w:rFonts w:hint="eastAsia" w:cs="宋体" w:asciiTheme="minorEastAsia" w:hAnsiTheme="minorEastAsia" w:eastAsiaTheme="minorEastAsia"/>
          <w:sz w:val="21"/>
          <w:szCs w:val="21"/>
        </w:rPr>
        <w:t>生产性物流</w:t>
      </w:r>
      <w:r>
        <w:rPr>
          <w:rFonts w:cs="宋体" w:asciiTheme="minorEastAsia" w:hAnsiTheme="minorEastAsia" w:eastAsiaTheme="minorEastAsia"/>
          <w:sz w:val="21"/>
          <w:szCs w:val="21"/>
        </w:rPr>
        <w:t>K</w:t>
      </w:r>
      <w:r>
        <w:rPr>
          <w:rFonts w:hint="eastAsia" w:cs="宋体" w:asciiTheme="minorEastAsia" w:hAnsiTheme="minorEastAsia" w:eastAsiaTheme="minorEastAsia"/>
          <w:sz w:val="21"/>
          <w:szCs w:val="21"/>
        </w:rPr>
        <w:t>now</w:t>
      </w:r>
      <w:r>
        <w:rPr>
          <w:rFonts w:cs="宋体" w:asciiTheme="minorEastAsia" w:hAnsiTheme="minorEastAsia" w:eastAsiaTheme="minorEastAsia"/>
          <w:sz w:val="21"/>
          <w:szCs w:val="21"/>
        </w:rPr>
        <w:t>-how,</w:t>
      </w:r>
      <w:r>
        <w:rPr>
          <w:rFonts w:hint="eastAsia" w:cs="宋体" w:asciiTheme="minorEastAsia" w:hAnsiTheme="minorEastAsia" w:eastAsiaTheme="minorEastAsia"/>
          <w:sz w:val="21"/>
          <w:szCs w:val="21"/>
        </w:rPr>
        <w:t>实现超速发展。</w:t>
      </w:r>
    </w:p>
    <w:p>
      <w:pPr>
        <w:pStyle w:val="9"/>
        <w:adjustRightInd w:val="0"/>
        <w:snapToGrid w:val="0"/>
        <w:spacing w:before="100" w:beforeAutospacing="0" w:after="100" w:afterAutospacing="0" w:line="360" w:lineRule="auto"/>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6、智能化-</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不负众望</w:t>
      </w:r>
    </w:p>
    <w:p>
      <w:pPr>
        <w:pStyle w:val="9"/>
        <w:adjustRightInd w:val="0"/>
        <w:snapToGrid w:val="0"/>
        <w:spacing w:before="100" w:beforeAutospacing="0" w:after="100" w:afterAutospacing="0" w:line="360" w:lineRule="auto"/>
        <w:ind w:firstLine="420" w:firstLine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在满足海晨自有自动化集成的需求下，大力推动海盟向高端智能化集成发展，勇往直前、不负众望实现海盟高速发展。</w:t>
      </w:r>
    </w:p>
    <w:p>
      <w:pPr>
        <w:spacing w:line="520" w:lineRule="exact"/>
        <w:ind w:firstLine="4819" w:firstLineChars="2000"/>
        <w:jc w:val="right"/>
        <w:rPr>
          <w:b/>
          <w:kern w:val="0"/>
          <w:sz w:val="24"/>
          <w:szCs w:val="24"/>
        </w:rPr>
      </w:pPr>
      <w:r>
        <w:rPr>
          <w:rFonts w:hint="eastAsia" w:hAnsi="宋体"/>
          <w:b/>
          <w:sz w:val="24"/>
          <w:szCs w:val="24"/>
        </w:rPr>
        <w:t>江苏海晨物流股份有限公司</w:t>
      </w:r>
    </w:p>
    <w:p>
      <w:pPr>
        <w:pStyle w:val="8"/>
        <w:spacing w:line="520" w:lineRule="exact"/>
        <w:ind w:left="4217" w:leftChars="2008" w:firstLine="3306" w:firstLineChars="1372"/>
        <w:rPr>
          <w:sz w:val="24"/>
          <w:szCs w:val="24"/>
        </w:rPr>
      </w:pPr>
      <w:r>
        <w:rPr>
          <w:rFonts w:hint="eastAsia"/>
          <w:sz w:val="24"/>
          <w:szCs w:val="24"/>
        </w:rPr>
        <w:t>董事会</w:t>
      </w:r>
    </w:p>
    <w:p>
      <w:pPr>
        <w:pStyle w:val="4"/>
        <w:spacing w:line="520" w:lineRule="exact"/>
        <w:rPr>
          <w:kern w:val="0"/>
          <w:sz w:val="24"/>
          <w:szCs w:val="24"/>
        </w:rPr>
      </w:pPr>
      <w:r>
        <w:rPr>
          <w:sz w:val="24"/>
          <w:szCs w:val="24"/>
        </w:rPr>
        <w:t xml:space="preserve"> </w:t>
      </w:r>
      <w:r>
        <w:rPr>
          <w:rFonts w:ascii="宋体" w:hAnsi="宋体"/>
          <w:sz w:val="24"/>
          <w:szCs w:val="24"/>
        </w:rPr>
        <w:t xml:space="preserve">       202</w:t>
      </w:r>
      <w:r>
        <w:rPr>
          <w:rFonts w:hint="eastAsia" w:ascii="宋体" w:hAnsi="宋体"/>
          <w:sz w:val="24"/>
          <w:szCs w:val="24"/>
          <w:lang w:val="en-US" w:eastAsia="zh-CN"/>
        </w:rPr>
        <w:t>3</w:t>
      </w:r>
      <w:r>
        <w:rPr>
          <w:rFonts w:ascii="宋体" w:hAnsi="宋体"/>
          <w:sz w:val="24"/>
          <w:szCs w:val="24"/>
        </w:rPr>
        <w:t>年</w:t>
      </w:r>
      <w:r>
        <w:rPr>
          <w:rFonts w:hint="eastAsia" w:ascii="宋体" w:hAnsi="宋体"/>
          <w:sz w:val="24"/>
          <w:szCs w:val="24"/>
          <w:lang w:val="en-US" w:eastAsia="zh-CN"/>
        </w:rPr>
        <w:t>4</w:t>
      </w:r>
      <w:r>
        <w:rPr>
          <w:rFonts w:hint="eastAsia" w:ascii="宋体" w:hAnsi="宋体"/>
          <w:sz w:val="24"/>
          <w:szCs w:val="24"/>
        </w:rPr>
        <w:t>月</w:t>
      </w:r>
      <w:r>
        <w:rPr>
          <w:rFonts w:ascii="宋体" w:hAnsi="宋体"/>
          <w:sz w:val="24"/>
          <w:szCs w:val="24"/>
        </w:rPr>
        <w:t>2</w:t>
      </w:r>
      <w:r>
        <w:rPr>
          <w:rFonts w:hint="eastAsia" w:ascii="宋体" w:hAnsi="宋体"/>
          <w:sz w:val="24"/>
          <w:szCs w:val="24"/>
          <w:lang w:val="en-US" w:eastAsia="zh-CN"/>
        </w:rPr>
        <w:t>1</w:t>
      </w:r>
      <w:r>
        <w:rPr>
          <w:rFonts w:hint="eastAsia" w:ascii="宋体" w:hAnsi="宋体"/>
          <w:sz w:val="24"/>
          <w:szCs w:val="24"/>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DA7B64"/>
    <w:multiLevelType w:val="multilevel"/>
    <w:tmpl w:val="50DA7B64"/>
    <w:lvl w:ilvl="0" w:tentative="0">
      <w:start w:val="1"/>
      <w:numFmt w:val="japaneseCounting"/>
      <w:lvlText w:val="%1、"/>
      <w:lvlJc w:val="left"/>
      <w:pPr>
        <w:ind w:left="510" w:hanging="51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k3ZGFhMzBkZTM5OTRjMmU4YmRkOTYxZmY5OWFkODMifQ=="/>
  </w:docVars>
  <w:rsids>
    <w:rsidRoot w:val="6CB90FB4"/>
    <w:rsid w:val="00000187"/>
    <w:rsid w:val="00004A82"/>
    <w:rsid w:val="00004ED5"/>
    <w:rsid w:val="00013A2E"/>
    <w:rsid w:val="000145D7"/>
    <w:rsid w:val="00020DD0"/>
    <w:rsid w:val="000278B3"/>
    <w:rsid w:val="00033FC0"/>
    <w:rsid w:val="0004459B"/>
    <w:rsid w:val="00046892"/>
    <w:rsid w:val="00050811"/>
    <w:rsid w:val="0005294B"/>
    <w:rsid w:val="00056288"/>
    <w:rsid w:val="00056553"/>
    <w:rsid w:val="00057CA7"/>
    <w:rsid w:val="000613B8"/>
    <w:rsid w:val="00066A67"/>
    <w:rsid w:val="00071BFC"/>
    <w:rsid w:val="000923DE"/>
    <w:rsid w:val="00094637"/>
    <w:rsid w:val="00094908"/>
    <w:rsid w:val="000969B4"/>
    <w:rsid w:val="000A75C0"/>
    <w:rsid w:val="000A7F17"/>
    <w:rsid w:val="000B02D0"/>
    <w:rsid w:val="000B1FEC"/>
    <w:rsid w:val="000B2138"/>
    <w:rsid w:val="000B4BCB"/>
    <w:rsid w:val="000B7C0E"/>
    <w:rsid w:val="000C0089"/>
    <w:rsid w:val="000C0A57"/>
    <w:rsid w:val="000C7954"/>
    <w:rsid w:val="000D28EF"/>
    <w:rsid w:val="000D5423"/>
    <w:rsid w:val="000D5B6A"/>
    <w:rsid w:val="000D6A03"/>
    <w:rsid w:val="000E0DA9"/>
    <w:rsid w:val="000E7609"/>
    <w:rsid w:val="000E7DF3"/>
    <w:rsid w:val="00101572"/>
    <w:rsid w:val="00110541"/>
    <w:rsid w:val="001135E6"/>
    <w:rsid w:val="001142D2"/>
    <w:rsid w:val="001205B1"/>
    <w:rsid w:val="00126952"/>
    <w:rsid w:val="00131B98"/>
    <w:rsid w:val="001338B9"/>
    <w:rsid w:val="00140B10"/>
    <w:rsid w:val="00147C5C"/>
    <w:rsid w:val="00151D78"/>
    <w:rsid w:val="0015208D"/>
    <w:rsid w:val="00161E03"/>
    <w:rsid w:val="001651C8"/>
    <w:rsid w:val="00172CC4"/>
    <w:rsid w:val="00177EDB"/>
    <w:rsid w:val="0019377C"/>
    <w:rsid w:val="001951F5"/>
    <w:rsid w:val="001A7076"/>
    <w:rsid w:val="001B5CBC"/>
    <w:rsid w:val="001B6D94"/>
    <w:rsid w:val="001C65E2"/>
    <w:rsid w:val="001D59C4"/>
    <w:rsid w:val="001E1AFA"/>
    <w:rsid w:val="001E3738"/>
    <w:rsid w:val="001F061D"/>
    <w:rsid w:val="00202EEF"/>
    <w:rsid w:val="00203B1C"/>
    <w:rsid w:val="00203B46"/>
    <w:rsid w:val="00204B2A"/>
    <w:rsid w:val="00205F21"/>
    <w:rsid w:val="002103DD"/>
    <w:rsid w:val="00211BC8"/>
    <w:rsid w:val="0021598E"/>
    <w:rsid w:val="00225281"/>
    <w:rsid w:val="0022626B"/>
    <w:rsid w:val="00231B11"/>
    <w:rsid w:val="00232234"/>
    <w:rsid w:val="0023447C"/>
    <w:rsid w:val="00245947"/>
    <w:rsid w:val="0025065E"/>
    <w:rsid w:val="002516AF"/>
    <w:rsid w:val="00253B6E"/>
    <w:rsid w:val="002560FD"/>
    <w:rsid w:val="00260048"/>
    <w:rsid w:val="00261696"/>
    <w:rsid w:val="002653E4"/>
    <w:rsid w:val="0026559F"/>
    <w:rsid w:val="00272DC6"/>
    <w:rsid w:val="00275FA8"/>
    <w:rsid w:val="00291169"/>
    <w:rsid w:val="002B2038"/>
    <w:rsid w:val="002B2E4C"/>
    <w:rsid w:val="002B7BE5"/>
    <w:rsid w:val="002C1B39"/>
    <w:rsid w:val="002C30C0"/>
    <w:rsid w:val="002C4540"/>
    <w:rsid w:val="002D591F"/>
    <w:rsid w:val="002E5228"/>
    <w:rsid w:val="002E6805"/>
    <w:rsid w:val="002F151E"/>
    <w:rsid w:val="002F3D52"/>
    <w:rsid w:val="002F4950"/>
    <w:rsid w:val="002F6E0B"/>
    <w:rsid w:val="0030630D"/>
    <w:rsid w:val="00310753"/>
    <w:rsid w:val="00314144"/>
    <w:rsid w:val="0031516B"/>
    <w:rsid w:val="00317851"/>
    <w:rsid w:val="00321FD0"/>
    <w:rsid w:val="00322ED9"/>
    <w:rsid w:val="00330532"/>
    <w:rsid w:val="00333795"/>
    <w:rsid w:val="00334FB4"/>
    <w:rsid w:val="00351C6D"/>
    <w:rsid w:val="003540BF"/>
    <w:rsid w:val="0035767E"/>
    <w:rsid w:val="00383EF3"/>
    <w:rsid w:val="0039120E"/>
    <w:rsid w:val="00391E1F"/>
    <w:rsid w:val="003A3355"/>
    <w:rsid w:val="003A5881"/>
    <w:rsid w:val="003B5763"/>
    <w:rsid w:val="003B6740"/>
    <w:rsid w:val="003C4480"/>
    <w:rsid w:val="003D06C0"/>
    <w:rsid w:val="003E78F9"/>
    <w:rsid w:val="003F2D20"/>
    <w:rsid w:val="003F2EB8"/>
    <w:rsid w:val="003F32D7"/>
    <w:rsid w:val="003F3F3D"/>
    <w:rsid w:val="003F664C"/>
    <w:rsid w:val="003F693F"/>
    <w:rsid w:val="0042289A"/>
    <w:rsid w:val="00422C1B"/>
    <w:rsid w:val="0042597F"/>
    <w:rsid w:val="00425DBC"/>
    <w:rsid w:val="00426146"/>
    <w:rsid w:val="00431507"/>
    <w:rsid w:val="00431E44"/>
    <w:rsid w:val="004354B6"/>
    <w:rsid w:val="00436C3A"/>
    <w:rsid w:val="00437476"/>
    <w:rsid w:val="0044630F"/>
    <w:rsid w:val="00451B4D"/>
    <w:rsid w:val="004549A9"/>
    <w:rsid w:val="0045558B"/>
    <w:rsid w:val="004636E3"/>
    <w:rsid w:val="0046441C"/>
    <w:rsid w:val="00466748"/>
    <w:rsid w:val="00474A12"/>
    <w:rsid w:val="0047746B"/>
    <w:rsid w:val="00484058"/>
    <w:rsid w:val="004851C5"/>
    <w:rsid w:val="00487BFF"/>
    <w:rsid w:val="004A62FC"/>
    <w:rsid w:val="004B47E3"/>
    <w:rsid w:val="004C0216"/>
    <w:rsid w:val="004C6691"/>
    <w:rsid w:val="004D0CB8"/>
    <w:rsid w:val="004D3631"/>
    <w:rsid w:val="004D7F87"/>
    <w:rsid w:val="004E7C8A"/>
    <w:rsid w:val="004F16AE"/>
    <w:rsid w:val="004F31C7"/>
    <w:rsid w:val="004F3B56"/>
    <w:rsid w:val="0050125D"/>
    <w:rsid w:val="00504FD3"/>
    <w:rsid w:val="005063FE"/>
    <w:rsid w:val="00511698"/>
    <w:rsid w:val="0052788F"/>
    <w:rsid w:val="00527D44"/>
    <w:rsid w:val="005419F6"/>
    <w:rsid w:val="00552C64"/>
    <w:rsid w:val="005533C3"/>
    <w:rsid w:val="0055425F"/>
    <w:rsid w:val="005618CC"/>
    <w:rsid w:val="00571E0A"/>
    <w:rsid w:val="00580263"/>
    <w:rsid w:val="00582FD0"/>
    <w:rsid w:val="00586045"/>
    <w:rsid w:val="00591865"/>
    <w:rsid w:val="005A1910"/>
    <w:rsid w:val="005A2426"/>
    <w:rsid w:val="005A6288"/>
    <w:rsid w:val="005B11F1"/>
    <w:rsid w:val="005B16C9"/>
    <w:rsid w:val="005B4696"/>
    <w:rsid w:val="005C1DE0"/>
    <w:rsid w:val="005D2FB1"/>
    <w:rsid w:val="005D76A3"/>
    <w:rsid w:val="005E0689"/>
    <w:rsid w:val="005E665F"/>
    <w:rsid w:val="005F52F0"/>
    <w:rsid w:val="005F610F"/>
    <w:rsid w:val="006028F8"/>
    <w:rsid w:val="006034D3"/>
    <w:rsid w:val="0061188C"/>
    <w:rsid w:val="00611D9A"/>
    <w:rsid w:val="0061720A"/>
    <w:rsid w:val="00620E95"/>
    <w:rsid w:val="00621B71"/>
    <w:rsid w:val="00621FC9"/>
    <w:rsid w:val="006262FC"/>
    <w:rsid w:val="00642DB8"/>
    <w:rsid w:val="00646440"/>
    <w:rsid w:val="00647E6C"/>
    <w:rsid w:val="006526B6"/>
    <w:rsid w:val="00652B57"/>
    <w:rsid w:val="0065469D"/>
    <w:rsid w:val="0065685F"/>
    <w:rsid w:val="00661DDA"/>
    <w:rsid w:val="00664E6C"/>
    <w:rsid w:val="00666284"/>
    <w:rsid w:val="00667D82"/>
    <w:rsid w:val="00671551"/>
    <w:rsid w:val="00672DF3"/>
    <w:rsid w:val="0067438B"/>
    <w:rsid w:val="006760F9"/>
    <w:rsid w:val="006800F8"/>
    <w:rsid w:val="00683A0A"/>
    <w:rsid w:val="006865CE"/>
    <w:rsid w:val="00687BF6"/>
    <w:rsid w:val="006927D8"/>
    <w:rsid w:val="00695A0D"/>
    <w:rsid w:val="006A5E6E"/>
    <w:rsid w:val="006A79BB"/>
    <w:rsid w:val="006B077B"/>
    <w:rsid w:val="006B5B4B"/>
    <w:rsid w:val="006C03E8"/>
    <w:rsid w:val="006C0BC7"/>
    <w:rsid w:val="006C3D88"/>
    <w:rsid w:val="006C699B"/>
    <w:rsid w:val="006D1B9C"/>
    <w:rsid w:val="006D2D43"/>
    <w:rsid w:val="006D2F0B"/>
    <w:rsid w:val="006E3C67"/>
    <w:rsid w:val="006F05A0"/>
    <w:rsid w:val="006F6AB0"/>
    <w:rsid w:val="00702417"/>
    <w:rsid w:val="007042BB"/>
    <w:rsid w:val="00706962"/>
    <w:rsid w:val="007119A2"/>
    <w:rsid w:val="00727368"/>
    <w:rsid w:val="00731467"/>
    <w:rsid w:val="00732624"/>
    <w:rsid w:val="0073328C"/>
    <w:rsid w:val="007347E3"/>
    <w:rsid w:val="00735C06"/>
    <w:rsid w:val="00742F1D"/>
    <w:rsid w:val="00743C5D"/>
    <w:rsid w:val="00751395"/>
    <w:rsid w:val="00763791"/>
    <w:rsid w:val="007663DC"/>
    <w:rsid w:val="00780081"/>
    <w:rsid w:val="0078348B"/>
    <w:rsid w:val="0079227D"/>
    <w:rsid w:val="007922BD"/>
    <w:rsid w:val="007922C3"/>
    <w:rsid w:val="007924BF"/>
    <w:rsid w:val="00795027"/>
    <w:rsid w:val="007A01DF"/>
    <w:rsid w:val="007A5185"/>
    <w:rsid w:val="007A5DF6"/>
    <w:rsid w:val="007B2868"/>
    <w:rsid w:val="007B6BED"/>
    <w:rsid w:val="007C47DE"/>
    <w:rsid w:val="007D2C40"/>
    <w:rsid w:val="007D7845"/>
    <w:rsid w:val="007D7D2F"/>
    <w:rsid w:val="007E0E32"/>
    <w:rsid w:val="008021D3"/>
    <w:rsid w:val="008052B4"/>
    <w:rsid w:val="00806384"/>
    <w:rsid w:val="00807F18"/>
    <w:rsid w:val="00812115"/>
    <w:rsid w:val="008122FF"/>
    <w:rsid w:val="0081527D"/>
    <w:rsid w:val="008216FC"/>
    <w:rsid w:val="008217DB"/>
    <w:rsid w:val="00826C6F"/>
    <w:rsid w:val="00830EC2"/>
    <w:rsid w:val="0083323B"/>
    <w:rsid w:val="0083430C"/>
    <w:rsid w:val="0083743D"/>
    <w:rsid w:val="0084317C"/>
    <w:rsid w:val="00844E24"/>
    <w:rsid w:val="00851177"/>
    <w:rsid w:val="00851C9C"/>
    <w:rsid w:val="00867F66"/>
    <w:rsid w:val="00875EC7"/>
    <w:rsid w:val="00882B22"/>
    <w:rsid w:val="00886071"/>
    <w:rsid w:val="008953C5"/>
    <w:rsid w:val="008A057B"/>
    <w:rsid w:val="008A0911"/>
    <w:rsid w:val="008C07A1"/>
    <w:rsid w:val="008C2927"/>
    <w:rsid w:val="008D2771"/>
    <w:rsid w:val="008D2CA2"/>
    <w:rsid w:val="008D5FAC"/>
    <w:rsid w:val="008E3BF7"/>
    <w:rsid w:val="008E56ED"/>
    <w:rsid w:val="008E5BC0"/>
    <w:rsid w:val="008F4104"/>
    <w:rsid w:val="008F6BB1"/>
    <w:rsid w:val="00906CCC"/>
    <w:rsid w:val="009076BD"/>
    <w:rsid w:val="00914093"/>
    <w:rsid w:val="00922E22"/>
    <w:rsid w:val="00927586"/>
    <w:rsid w:val="00930F00"/>
    <w:rsid w:val="0093171F"/>
    <w:rsid w:val="00934C78"/>
    <w:rsid w:val="009352DC"/>
    <w:rsid w:val="0094277D"/>
    <w:rsid w:val="0095637F"/>
    <w:rsid w:val="00956899"/>
    <w:rsid w:val="0095784C"/>
    <w:rsid w:val="00970129"/>
    <w:rsid w:val="009847B1"/>
    <w:rsid w:val="00992EE9"/>
    <w:rsid w:val="009A1672"/>
    <w:rsid w:val="009A7A6E"/>
    <w:rsid w:val="009B6544"/>
    <w:rsid w:val="009E0400"/>
    <w:rsid w:val="009E320B"/>
    <w:rsid w:val="009E48B8"/>
    <w:rsid w:val="009E7A55"/>
    <w:rsid w:val="009F469E"/>
    <w:rsid w:val="009F4718"/>
    <w:rsid w:val="009F5888"/>
    <w:rsid w:val="009F74B5"/>
    <w:rsid w:val="00A06208"/>
    <w:rsid w:val="00A12062"/>
    <w:rsid w:val="00A3380A"/>
    <w:rsid w:val="00A47102"/>
    <w:rsid w:val="00A514FC"/>
    <w:rsid w:val="00A52B0F"/>
    <w:rsid w:val="00A53C71"/>
    <w:rsid w:val="00A60E92"/>
    <w:rsid w:val="00A647CA"/>
    <w:rsid w:val="00A72223"/>
    <w:rsid w:val="00A87D4E"/>
    <w:rsid w:val="00A922B9"/>
    <w:rsid w:val="00AA6D01"/>
    <w:rsid w:val="00AA711F"/>
    <w:rsid w:val="00AB29CC"/>
    <w:rsid w:val="00AB5BC3"/>
    <w:rsid w:val="00AB6C15"/>
    <w:rsid w:val="00AB774D"/>
    <w:rsid w:val="00AC1417"/>
    <w:rsid w:val="00AD59E8"/>
    <w:rsid w:val="00AE2C5B"/>
    <w:rsid w:val="00B01A1B"/>
    <w:rsid w:val="00B06D7E"/>
    <w:rsid w:val="00B14D81"/>
    <w:rsid w:val="00B15FCF"/>
    <w:rsid w:val="00B1630D"/>
    <w:rsid w:val="00B17C40"/>
    <w:rsid w:val="00B17D8A"/>
    <w:rsid w:val="00B2148C"/>
    <w:rsid w:val="00B355D8"/>
    <w:rsid w:val="00B40273"/>
    <w:rsid w:val="00B4325B"/>
    <w:rsid w:val="00B443A0"/>
    <w:rsid w:val="00B47059"/>
    <w:rsid w:val="00B50C67"/>
    <w:rsid w:val="00B510E1"/>
    <w:rsid w:val="00B74B6C"/>
    <w:rsid w:val="00B75737"/>
    <w:rsid w:val="00B75AE1"/>
    <w:rsid w:val="00B8195D"/>
    <w:rsid w:val="00B83C39"/>
    <w:rsid w:val="00B83CAF"/>
    <w:rsid w:val="00B87101"/>
    <w:rsid w:val="00B974DC"/>
    <w:rsid w:val="00BA0DCE"/>
    <w:rsid w:val="00BA310A"/>
    <w:rsid w:val="00BB0CE0"/>
    <w:rsid w:val="00BB5694"/>
    <w:rsid w:val="00BB5F26"/>
    <w:rsid w:val="00BC2081"/>
    <w:rsid w:val="00BC6B45"/>
    <w:rsid w:val="00BC71E4"/>
    <w:rsid w:val="00BD0ABA"/>
    <w:rsid w:val="00BF725A"/>
    <w:rsid w:val="00C02185"/>
    <w:rsid w:val="00C07015"/>
    <w:rsid w:val="00C077F3"/>
    <w:rsid w:val="00C12826"/>
    <w:rsid w:val="00C14551"/>
    <w:rsid w:val="00C21A94"/>
    <w:rsid w:val="00C25ED5"/>
    <w:rsid w:val="00C34950"/>
    <w:rsid w:val="00C42B07"/>
    <w:rsid w:val="00C44BAA"/>
    <w:rsid w:val="00C457C7"/>
    <w:rsid w:val="00C56EF1"/>
    <w:rsid w:val="00C57175"/>
    <w:rsid w:val="00C62954"/>
    <w:rsid w:val="00C63158"/>
    <w:rsid w:val="00C72AD3"/>
    <w:rsid w:val="00C82214"/>
    <w:rsid w:val="00C851E3"/>
    <w:rsid w:val="00C86E6C"/>
    <w:rsid w:val="00C87B5C"/>
    <w:rsid w:val="00C96E68"/>
    <w:rsid w:val="00CA25A0"/>
    <w:rsid w:val="00CA6D24"/>
    <w:rsid w:val="00CC0305"/>
    <w:rsid w:val="00CC60F5"/>
    <w:rsid w:val="00CD2190"/>
    <w:rsid w:val="00CE6C8E"/>
    <w:rsid w:val="00CF0D52"/>
    <w:rsid w:val="00CF1F5E"/>
    <w:rsid w:val="00CF2B50"/>
    <w:rsid w:val="00CF5419"/>
    <w:rsid w:val="00D01EEE"/>
    <w:rsid w:val="00D15143"/>
    <w:rsid w:val="00D21163"/>
    <w:rsid w:val="00D24B5E"/>
    <w:rsid w:val="00D268E7"/>
    <w:rsid w:val="00D3475D"/>
    <w:rsid w:val="00D3679E"/>
    <w:rsid w:val="00D41495"/>
    <w:rsid w:val="00D41B43"/>
    <w:rsid w:val="00D46CEA"/>
    <w:rsid w:val="00D50994"/>
    <w:rsid w:val="00D51F13"/>
    <w:rsid w:val="00D52223"/>
    <w:rsid w:val="00D54BED"/>
    <w:rsid w:val="00D61BC1"/>
    <w:rsid w:val="00D678CE"/>
    <w:rsid w:val="00D70876"/>
    <w:rsid w:val="00D74865"/>
    <w:rsid w:val="00D75ED2"/>
    <w:rsid w:val="00D92828"/>
    <w:rsid w:val="00D9506A"/>
    <w:rsid w:val="00DA3BF3"/>
    <w:rsid w:val="00DA488A"/>
    <w:rsid w:val="00DB1EDD"/>
    <w:rsid w:val="00DB5234"/>
    <w:rsid w:val="00DB6C33"/>
    <w:rsid w:val="00DC513B"/>
    <w:rsid w:val="00DD287B"/>
    <w:rsid w:val="00DD4609"/>
    <w:rsid w:val="00DD7FFB"/>
    <w:rsid w:val="00DF0240"/>
    <w:rsid w:val="00DF6979"/>
    <w:rsid w:val="00E03AB9"/>
    <w:rsid w:val="00E12E98"/>
    <w:rsid w:val="00E15596"/>
    <w:rsid w:val="00E160A4"/>
    <w:rsid w:val="00E33075"/>
    <w:rsid w:val="00E36CEB"/>
    <w:rsid w:val="00E402AB"/>
    <w:rsid w:val="00E40D0D"/>
    <w:rsid w:val="00E41AA0"/>
    <w:rsid w:val="00E4292E"/>
    <w:rsid w:val="00E61567"/>
    <w:rsid w:val="00E7196B"/>
    <w:rsid w:val="00E77FE4"/>
    <w:rsid w:val="00E819F4"/>
    <w:rsid w:val="00E83ACD"/>
    <w:rsid w:val="00EB10F2"/>
    <w:rsid w:val="00EB2968"/>
    <w:rsid w:val="00EB4A5F"/>
    <w:rsid w:val="00EB4B59"/>
    <w:rsid w:val="00EB711B"/>
    <w:rsid w:val="00EC03FA"/>
    <w:rsid w:val="00ED0380"/>
    <w:rsid w:val="00ED1A5C"/>
    <w:rsid w:val="00ED6DB9"/>
    <w:rsid w:val="00ED6FBB"/>
    <w:rsid w:val="00EE7F46"/>
    <w:rsid w:val="00EF3D4E"/>
    <w:rsid w:val="00F0246C"/>
    <w:rsid w:val="00F20C2D"/>
    <w:rsid w:val="00F35019"/>
    <w:rsid w:val="00F50F2F"/>
    <w:rsid w:val="00F53B99"/>
    <w:rsid w:val="00F54D16"/>
    <w:rsid w:val="00F55412"/>
    <w:rsid w:val="00F55C82"/>
    <w:rsid w:val="00F577FE"/>
    <w:rsid w:val="00F64D10"/>
    <w:rsid w:val="00F6613F"/>
    <w:rsid w:val="00F7490F"/>
    <w:rsid w:val="00F77358"/>
    <w:rsid w:val="00F806D9"/>
    <w:rsid w:val="00F86F0E"/>
    <w:rsid w:val="00F87878"/>
    <w:rsid w:val="00F943B3"/>
    <w:rsid w:val="00FA424F"/>
    <w:rsid w:val="00FA5B42"/>
    <w:rsid w:val="00FA60C5"/>
    <w:rsid w:val="00FB3B46"/>
    <w:rsid w:val="00FC592E"/>
    <w:rsid w:val="00FC72DE"/>
    <w:rsid w:val="00FD64E6"/>
    <w:rsid w:val="00FD78CF"/>
    <w:rsid w:val="00FE3263"/>
    <w:rsid w:val="00FE5194"/>
    <w:rsid w:val="00FE5A44"/>
    <w:rsid w:val="00FF226D"/>
    <w:rsid w:val="00FF5135"/>
    <w:rsid w:val="01C20ED9"/>
    <w:rsid w:val="1DCE54AD"/>
    <w:rsid w:val="27677418"/>
    <w:rsid w:val="402E452B"/>
    <w:rsid w:val="40BA762B"/>
    <w:rsid w:val="4C133E36"/>
    <w:rsid w:val="4E80255A"/>
    <w:rsid w:val="608E7AEF"/>
    <w:rsid w:val="63CA77A9"/>
    <w:rsid w:val="694621D7"/>
    <w:rsid w:val="6CB90FB4"/>
    <w:rsid w:val="7CCF4377"/>
    <w:rsid w:val="7CD34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iPriority="99" w:semiHidden="0"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Date"/>
    <w:basedOn w:val="1"/>
    <w:next w:val="1"/>
    <w:unhideWhenUsed/>
    <w:qFormat/>
    <w:uiPriority w:val="99"/>
    <w:pPr>
      <w:widowControl/>
      <w:spacing w:line="360" w:lineRule="auto"/>
      <w:ind w:left="5528"/>
      <w:jc w:val="left"/>
    </w:pPr>
    <w:rPr>
      <w:b/>
      <w:sz w:val="28"/>
      <w:szCs w:val="20"/>
    </w:rPr>
  </w:style>
  <w:style w:type="paragraph" w:styleId="5">
    <w:name w:val="Balloon Text"/>
    <w:basedOn w:val="1"/>
    <w:link w:val="13"/>
    <w:semiHidden/>
    <w:unhideWhenUsed/>
    <w:qFormat/>
    <w:uiPriority w:val="99"/>
    <w:rPr>
      <w:rFonts w:ascii="宋体"/>
      <w:sz w:val="18"/>
      <w:szCs w:val="18"/>
    </w:rPr>
  </w:style>
  <w:style w:type="paragraph" w:styleId="6">
    <w:name w:val="footer"/>
    <w:basedOn w:val="1"/>
    <w:unhideWhenUsed/>
    <w:qFormat/>
    <w:uiPriority w:val="0"/>
    <w:pPr>
      <w:tabs>
        <w:tab w:val="center" w:pos="4153"/>
        <w:tab w:val="right" w:pos="8306"/>
      </w:tabs>
      <w:snapToGrid w:val="0"/>
      <w:jc w:val="left"/>
    </w:pPr>
    <w:rPr>
      <w:sz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Signature"/>
    <w:basedOn w:val="1"/>
    <w:next w:val="4"/>
    <w:unhideWhenUsed/>
    <w:qFormat/>
    <w:uiPriority w:val="99"/>
    <w:pPr>
      <w:widowControl/>
      <w:spacing w:line="360" w:lineRule="auto"/>
      <w:ind w:left="4820"/>
      <w:jc w:val="left"/>
    </w:pPr>
    <w:rPr>
      <w:b/>
      <w:sz w:val="28"/>
      <w:szCs w:val="20"/>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2">
    <w:name w:val="List Paragraph"/>
    <w:basedOn w:val="1"/>
    <w:qFormat/>
    <w:uiPriority w:val="99"/>
    <w:pPr>
      <w:ind w:firstLine="420" w:firstLineChars="200"/>
    </w:pPr>
  </w:style>
  <w:style w:type="character" w:customStyle="1" w:styleId="13">
    <w:name w:val="批注框文本 字符"/>
    <w:link w:val="5"/>
    <w:semiHidden/>
    <w:qFormat/>
    <w:uiPriority w:val="99"/>
    <w:rPr>
      <w:rFonts w:ascii="宋体"/>
      <w:kern w:val="2"/>
      <w:sz w:val="18"/>
      <w:szCs w:val="18"/>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
    <w:name w:val="IPO正文"/>
    <w:basedOn w:val="1"/>
    <w:link w:val="16"/>
    <w:qFormat/>
    <w:uiPriority w:val="0"/>
    <w:pPr>
      <w:spacing w:afterLines="50" w:line="360" w:lineRule="auto"/>
      <w:ind w:firstLine="480" w:firstLineChars="200"/>
    </w:pPr>
    <w:rPr>
      <w:rFonts w:ascii="Arial" w:hAnsi="Arial" w:cs="Arial"/>
      <w:color w:val="000000"/>
      <w:sz w:val="24"/>
      <w:szCs w:val="22"/>
      <w:lang w:eastAsia="en-US" w:bidi="en-US"/>
    </w:rPr>
  </w:style>
  <w:style w:type="character" w:customStyle="1" w:styleId="16">
    <w:name w:val="IPO正文 Char"/>
    <w:link w:val="15"/>
    <w:qFormat/>
    <w:uiPriority w:val="0"/>
    <w:rPr>
      <w:rFonts w:ascii="Arial" w:hAnsi="Arial" w:cs="Arial"/>
      <w:color w:val="000000"/>
      <w:kern w:val="2"/>
      <w:sz w:val="24"/>
      <w:szCs w:val="22"/>
      <w:lang w:eastAsia="en-US" w:bidi="en-US"/>
    </w:rPr>
  </w:style>
  <w:style w:type="paragraph" w:customStyle="1" w:styleId="17">
    <w:name w:val="Chapter"/>
    <w:next w:val="1"/>
    <w:unhideWhenUsed/>
    <w:qFormat/>
    <w:uiPriority w:val="99"/>
    <w:pPr>
      <w:keepNext/>
      <w:keepLines/>
      <w:widowControl w:val="0"/>
      <w:spacing w:before="300" w:after="300" w:line="241" w:lineRule="auto"/>
      <w:jc w:val="both"/>
    </w:pPr>
    <w:rPr>
      <w:rFonts w:ascii="Times New Roman" w:hAnsi="Times New Roman" w:eastAsia="宋体" w:cs="Times New Roman"/>
      <w:b/>
      <w:kern w:val="28"/>
      <w:sz w:val="24"/>
      <w:szCs w:val="24"/>
      <w:lang w:val="en-US" w:eastAsia="zh-CN" w:bidi="ar-SA"/>
    </w:rPr>
  </w:style>
  <w:style w:type="table" w:customStyle="1" w:styleId="18">
    <w:name w:val="Table Normal"/>
    <w:basedOn w:val="10"/>
    <w:semiHidden/>
    <w:qFormat/>
    <w:uiPriority w:val="0"/>
    <w:pPr>
      <w:keepNext w:val="0"/>
      <w:keepLines w:val="0"/>
      <w:widowControl/>
      <w:suppressLineNumbers w:val="0"/>
      <w:spacing w:before="0" w:beforeAutospacing="0" w:after="160" w:afterAutospacing="0" w:line="256" w:lineRule="auto"/>
      <w:ind w:left="0" w:right="0"/>
    </w:pPr>
    <w:rPr>
      <w:rFonts w:hint="default" w:ascii="Calibri" w:hAnsi="Calibri" w:cs="Times New Roman"/>
      <w:sz w:val="22"/>
      <w:szCs w:val="22"/>
    </w:rPr>
    <w:tblPr>
      <w:tblCellMar>
        <w:top w:w="0" w:type="dxa"/>
        <w:left w:w="108" w:type="dxa"/>
        <w:bottom w:w="0" w:type="dxa"/>
        <w:right w:w="108" w:type="dxa"/>
      </w:tblCellMar>
    </w:tblPr>
  </w:style>
  <w:style w:type="table" w:customStyle="1" w:styleId="19">
    <w:name w:val="Table Normal1"/>
    <w:basedOn w:val="10"/>
    <w:semiHidden/>
    <w:qFormat/>
    <w:uiPriority w:val="0"/>
    <w:pPr>
      <w:spacing w:after="160" w:line="256" w:lineRule="auto"/>
    </w:pPr>
    <w:rPr>
      <w:rFonts w:ascii="Calibri" w:hAnsi="Calibri"/>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19A4DF-0D1D-49D1-96BE-35D087BD7C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3763</Words>
  <Characters>4284</Characters>
  <Lines>28</Lines>
  <Paragraphs>8</Paragraphs>
  <TotalTime>1</TotalTime>
  <ScaleCrop>false</ScaleCrop>
  <LinksUpToDate>false</LinksUpToDate>
  <CharactersWithSpaces>4325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2015-04-01T06:44:00Z</dcterms:created>
  <dc:creator>Administrator</dc:creator>
  <cp:lastModifiedBy>Leanne</cp:lastModifiedBy>
  <cp:lastPrinted>2023-04-21T00:57:00Z</cp:lastPrinted>
  <dcterms:modified xsi:type="dcterms:W3CDTF">2023-04-21T11:29:49Z</dcterms:modified>
  <dc:title>2014年度总经理工作报告</dc:title>
  <cp:revision>437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9FB0D4B688F44CF095D0B511308AAB35_12</vt:lpwstr>
  </property>
</Properties>
</file>